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1F34" w14:textId="77777777" w:rsidR="00E4256D" w:rsidRDefault="00E4256D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BEFDE11" w14:textId="5DE4DA4A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47847720" w14:textId="652D64BD" w:rsidR="00540184" w:rsidRDefault="00F54BC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6876026" w:history="1">
            <w:r w:rsidR="00540184" w:rsidRPr="00AF120F">
              <w:rPr>
                <w:rStyle w:val="Hypertextovprepojenie"/>
                <w:noProof/>
              </w:rPr>
              <w:t>Článok 1. VŠEOBECNÉ USTANOVENIA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_Toc136876026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FDAF48C" w14:textId="0A9CEC8A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27" w:history="1">
            <w:r w:rsidR="00540184" w:rsidRPr="00AF120F">
              <w:rPr>
                <w:rStyle w:val="Hypertextovprepojenie"/>
                <w:noProof/>
              </w:rPr>
              <w:t>Článok 2. VŠEOBECNÉ POVINNOSTI ZMLUVNÝCH STRÁN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_Toc136876027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4DE47B3F" w14:textId="7C28B574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28" w:history="1">
            <w:r w:rsidR="00540184" w:rsidRPr="00AF120F">
              <w:rPr>
                <w:rStyle w:val="Hypertextovprepojenie"/>
                <w:noProof/>
              </w:rPr>
              <w:t>Článok 3. VEREJNÉ OBSTARÁVANIE SLUŽIEB, TOVAROV A PRÁC PRIJÍMATEĽOM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_Toc136876028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8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5158F84D" w14:textId="345FD56F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29" w:history="1">
            <w:r w:rsidR="00540184" w:rsidRPr="00AF120F">
              <w:rPr>
                <w:rStyle w:val="Hypertextovprepojenie"/>
                <w:noProof/>
              </w:rPr>
              <w:t>Článok 4. OPRÁVNENÉ VÝDAVKY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_Toc136876029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9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5D3A88B3" w14:textId="2355F35D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0" w:history="1">
            <w:r w:rsidR="00540184" w:rsidRPr="00AF120F">
              <w:rPr>
                <w:rStyle w:val="Hypertextovprepojenie"/>
                <w:noProof/>
              </w:rPr>
              <w:t>Článok 5. MONITOROVANIE PROJEKTU A POSKYTOVANIE INFORMÁCIÍ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_Toc136876030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10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299B15FE" w14:textId="111D41A2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1" w:history="1">
            <w:r w:rsidR="00540184" w:rsidRPr="00AF120F">
              <w:rPr>
                <w:rStyle w:val="Hypertextovprepojenie"/>
                <w:noProof/>
              </w:rPr>
              <w:t>Článok 6. INFORMOVANOSŤ, KOMUNIKÁCIA A VIDITEĽNOSŤ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_Toc136876031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11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DA77861" w14:textId="0A22F850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2" w:history="1">
            <w:r w:rsidR="00540184" w:rsidRPr="00AF120F">
              <w:rPr>
                <w:rStyle w:val="Hypertextovprepojenie"/>
                <w:noProof/>
              </w:rPr>
              <w:t>Článok 7. VLASTNÍCTVO A POUŽITIE VÝSTUPOV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_Toc136876032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12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5CC20989" w14:textId="2F58FF4F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3" w:history="1">
            <w:r w:rsidR="00540184" w:rsidRPr="00AF120F">
              <w:rPr>
                <w:rStyle w:val="Hypertextovprepojenie"/>
                <w:noProof/>
              </w:rPr>
              <w:t>Článok 8. PREVOD A PRECHOD PRÁV A POVINNOSTÍ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_Toc136876033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14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1AF4C6FB" w14:textId="4DE3CE8A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4" w:history="1">
            <w:r w:rsidR="00540184" w:rsidRPr="00AF120F">
              <w:rPr>
                <w:rStyle w:val="Hypertextovprepojenie"/>
                <w:noProof/>
              </w:rPr>
              <w:t>Článok 9. REALIZÁCIA PROJEKTU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_Toc136876034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15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B82487A" w14:textId="40A7B5A7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5" w:history="1">
            <w:r w:rsidR="00540184" w:rsidRPr="00AF120F">
              <w:rPr>
                <w:rStyle w:val="Hypertextovprepojenie"/>
                <w:noProof/>
              </w:rPr>
              <w:t>Článok 10. ZMENA ZMLUVY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_Toc136876035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10233A21" w14:textId="50BB0E24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6" w:history="1">
            <w:r w:rsidR="00540184" w:rsidRPr="00AF120F">
              <w:rPr>
                <w:rStyle w:val="Hypertextovprepojenie"/>
                <w:noProof/>
              </w:rPr>
              <w:t>Článok 11. UKONČENIE ZMLUVY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_Toc136876036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20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279B43E" w14:textId="2D02647A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7" w:history="1">
            <w:r w:rsidR="00540184" w:rsidRPr="00AF120F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_Toc136876037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22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02048778" w14:textId="70106C12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8" w:history="1">
            <w:r w:rsidR="00540184" w:rsidRPr="00AF120F">
              <w:rPr>
                <w:rStyle w:val="Hypertextovprepojenie"/>
                <w:noProof/>
              </w:rPr>
              <w:t>Článok 13. KONTROLA A AUDIT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_Toc136876038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24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02CDAB03" w14:textId="518B144E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9" w:history="1">
            <w:r w:rsidR="00540184" w:rsidRPr="00AF120F">
              <w:rPr>
                <w:rStyle w:val="Hypertextovprepojenie"/>
                <w:noProof/>
              </w:rPr>
              <w:t>Článok 14. VYSPORIADANIE FINANČNÝCH VZŤAHOV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_Toc136876039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25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27265036" w14:textId="5604FDBE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0" w:history="1">
            <w:r w:rsidR="00540184" w:rsidRPr="00AF120F">
              <w:rPr>
                <w:rStyle w:val="Hypertextovprepojenie"/>
                <w:noProof/>
              </w:rPr>
              <w:t>Článok 15. MENY A KURZOVÉ ROZDIELY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_Toc136876040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26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03DFE1FC" w14:textId="4563D3D4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1" w:history="1">
            <w:r w:rsidR="00540184" w:rsidRPr="00AF120F">
              <w:rPr>
                <w:rStyle w:val="Hypertextovprepojenie"/>
                <w:noProof/>
              </w:rPr>
              <w:t>Článok 16. ÚČTY PRIJÍMATEĽA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_Toc136876041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EED3F7D" w14:textId="6CB7D970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2" w:history="1">
            <w:r w:rsidR="00540184" w:rsidRPr="00AF120F">
              <w:rPr>
                <w:rStyle w:val="Hypertextovprepojenie"/>
                <w:noProof/>
              </w:rPr>
              <w:t>Článok 17. PLATBY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_Toc136876042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2EA96811" w14:textId="14B394C1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3" w:history="1">
            <w:r w:rsidR="00540184" w:rsidRPr="00AF120F">
              <w:rPr>
                <w:rStyle w:val="Hypertextovprepojenie"/>
                <w:noProof/>
              </w:rPr>
              <w:t>Článok 17a. Systém zálohových platieb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_Toc136876043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28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40A1CDB" w14:textId="26FDECF5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4" w:history="1">
            <w:r w:rsidR="00540184" w:rsidRPr="00AF120F">
              <w:rPr>
                <w:rStyle w:val="Hypertextovprepojenie"/>
                <w:noProof/>
              </w:rPr>
              <w:t>Článok 17b. Systém refundácie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_Toc136876044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30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4DEAFC99" w14:textId="022E5BCD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136876026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Celkové oprávnené výdavky tvoria vecný 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701D12AD" w14:textId="77777777" w:rsidR="00192B51" w:rsidRDefault="00192B51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mechanizmu, ale aj využitím </w:t>
      </w:r>
      <w:bookmarkStart w:id="1" w:name="_Hlk134017423"/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z iných verejných zdrojov alebo </w:t>
      </w:r>
      <w:bookmarkEnd w:id="1"/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2021/241.</w:t>
      </w:r>
    </w:p>
    <w:p w14:paraId="0EFFDF05" w14:textId="09CBF25A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Prijímateľovi uhradené/</w:t>
      </w:r>
      <w:commentRangeStart w:id="2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zúčtované</w:t>
      </w:r>
      <w:commentRangeEnd w:id="2"/>
      <w:r w:rsidR="00411D5F" w:rsidRPr="00900AF8">
        <w:rPr>
          <w:rStyle w:val="Odkaznakomentr"/>
          <w:rFonts w:ascii="Arial Narrow" w:hAnsi="Arial Narrow"/>
          <w:lang w:val="sk-SK"/>
        </w:rPr>
        <w:commentReference w:id="2"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7AC185C" w14:textId="77777777" w:rsidR="00192B51" w:rsidRDefault="00192B51" w:rsidP="00192B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zákonov.</w:t>
      </w:r>
    </w:p>
    <w:p w14:paraId="702F44DB" w14:textId="77777777" w:rsidR="00192B51" w:rsidRPr="00900AF8" w:rsidRDefault="00192B51" w:rsidP="00192B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a/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v platnom znení.</w:t>
      </w:r>
    </w:p>
    <w:p w14:paraId="008CCAC8" w14:textId="26ECD63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6C507A" w14:textId="516EAD83" w:rsidR="0075019D" w:rsidRPr="00777218" w:rsidRDefault="00F81A49" w:rsidP="0075019D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77721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77721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(ďalej len „EÚ“) vyplývajúce z konania alebo opomenutia hospodárskeho subjektu, dôsledkom čoho je alebo by bolo poškodenie všeobecného rozpočtu EÚ alebo rozpočtov ňou spravovaných, buď zmenšením, alebo stratou výnosov plynúcich z vlastných zdrojov vyberaných priamo v mene EÚ alebo neoprávnenou výdajovou položkou podľa čl. 1 ods. 2 nariadenia Rady (ES, </w:t>
      </w:r>
      <w:proofErr w:type="spellStart"/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Euratom</w:t>
      </w:r>
      <w:proofErr w:type="spellEnd"/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č. 2988/95 z 18. decembra 1995 o ochrane finančných záujmov Európskych spoločenstiev v platnom znení. Na účely správnej aplikácie podmienok tejto definície Nezrovnalosti, sa pri posudzovaní skutočností a zistených nedostatkov pod pojmom nezrovnalosť rozumie aj podozrenie z nezrovnalosti. Nezrovnalosťou sa rozumie najmä podvod, korupcia, Konflikt záujmov a </w:t>
      </w:r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Dvojité financovanie z Prostriedkov mechanizmu a iných nástrojov podpory Európskej únie. </w:t>
      </w:r>
    </w:p>
    <w:p w14:paraId="344BFFE6" w14:textId="5CCEAA46" w:rsidR="00F81A49" w:rsidRPr="00777218" w:rsidRDefault="001A34C6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7D278A1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A65994" w14:textId="77777777" w:rsidR="00192B51" w:rsidRPr="00900AF8" w:rsidRDefault="00192B51" w:rsidP="00192B5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FB2CFD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>Partner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– osoba podľa § 2 písm. m) zákona o mechanizme, ktorá sa v záujme dosahovania spoločných cieľov s 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rijímateľom spolupodieľa na realizácii investície alebo realizácii reformy na základe písomnej zmluvy s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rijímateľom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ktorá zároveň nemá vo vzťahu k 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rijímateľovi postavenie dodávateľa alebo subdodávateľa. Partnerom je aj osoba, ktorá sa v záujme dosahovania spoločných cieľov spolupodieľa na príprave realizácie investície alebo príprave realizácie reformy so žiadateľom, ak sa následne spolupodieľa na realizácii tejto investície alebo realizácii tejto reformy a ktorá zároveň nemá vo vzťahu k žiadateľovi postavenie dodávateľa alebo subdodávateľa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8C49E4E" w14:textId="26F3D495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lastRenderedPageBreak/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222A305" w14:textId="77BCC81F" w:rsidR="00192B51" w:rsidRDefault="005B5423" w:rsidP="005B5423">
      <w:pPr>
        <w:ind w:left="1276" w:hanging="283"/>
        <w:contextualSpacing/>
        <w:jc w:val="both"/>
        <w:rPr>
          <w:rFonts w:ascii="Arial Narrow" w:hAnsi="Arial Narrow"/>
          <w:sz w:val="22"/>
          <w:shd w:val="clear" w:color="auto" w:fill="FFFFFF"/>
          <w:lang w:val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</w:t>
      </w:r>
      <w:r w:rsidR="00192B51">
        <w:rPr>
          <w:rFonts w:ascii="Arial Narrow" w:hAnsi="Arial Narrow"/>
          <w:sz w:val="22"/>
          <w:shd w:val="clear" w:color="auto" w:fill="FFFFFF"/>
          <w:lang w:val="sk-SK"/>
        </w:rPr>
        <w:t> 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odolnosti</w:t>
      </w:r>
      <w:r w:rsidR="00192B51">
        <w:rPr>
          <w:rFonts w:ascii="Arial Narrow" w:hAnsi="Arial Narrow"/>
          <w:sz w:val="22"/>
          <w:shd w:val="clear" w:color="auto" w:fill="FFFFFF"/>
          <w:lang w:val="sk-SK"/>
        </w:rPr>
        <w:t>,</w:t>
      </w:r>
    </w:p>
    <w:p w14:paraId="7304D88C" w14:textId="77777777" w:rsidR="00192B51" w:rsidRDefault="00192B51" w:rsidP="00192B51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B755A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B755A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B755A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EÚ č. 2016/679 o ochrane fyzických osôb pri spracúvaní osobných údajov a o voľnom pohybe takýchto údajov, ktorým sa zrušuje smernica 95/46/ES (ďalej len „všeobecné nariadenie o ochrane údajov“)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BF4692C" w14:textId="77777777" w:rsidR="00192B51" w:rsidRDefault="00192B51" w:rsidP="00192B51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0971A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0971A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smernica Európskeho parlamentu a Rady (EÚ) 2017/1371 o boji proti podvodom, ktoré poškodzujú finančné záujmy Únie, prostredníctvom trestného práva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A738FA2" w14:textId="77777777" w:rsidR="00192B51" w:rsidRPr="005B5423" w:rsidRDefault="00192B51" w:rsidP="00192B51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x. </w:t>
      </w:r>
      <w:r w:rsidRPr="009F1C7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</w:t>
      </w:r>
      <w:r w:rsidRPr="009F1C7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Komisie (EÚ) č. 651/2014 zo 17. júna 2014 o vyhlásení určitých kategórií pomoci za zlučiteľné s vnútorným trhom podľa článkov 107 a 108 zmluvy (Ú. v. EÚ L 187, 26.6.2014, s. 1)</w:t>
      </w:r>
      <w:r w:rsidRPr="000971A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61B01F2A" w14:textId="6593657D" w:rsidR="006E1DCA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B462F4F" w14:textId="77777777" w:rsidR="00192B51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192B5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3D4358A9" w:rsidR="00B84C0D" w:rsidRPr="00900AF8" w:rsidRDefault="00192B51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proofErr w:type="spellEnd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 č. 187/2021 Z. z. o ochrane hospodárskej súťaže a o zmene a doplnení niektorých zákonov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„zákon o ochrane hospodárskej súťaže“)</w:t>
      </w:r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16E676F2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16E676F2">
        <w:rPr>
          <w:rFonts w:ascii="Arial Narrow" w:hAnsi="Arial Narrow"/>
          <w:b/>
          <w:bCs/>
          <w:lang w:val="en-US"/>
        </w:rPr>
        <w:t>Predmet</w:t>
      </w:r>
      <w:proofErr w:type="spellEnd"/>
      <w:r w:rsidRPr="16E676F2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16E676F2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16E676F2">
        <w:rPr>
          <w:rFonts w:ascii="Arial Narrow" w:hAnsi="Arial Narrow"/>
          <w:lang w:val="en-US"/>
        </w:rPr>
        <w:t xml:space="preserve"> – </w:t>
      </w:r>
      <w:proofErr w:type="spellStart"/>
      <w:r w:rsidRPr="16E676F2">
        <w:rPr>
          <w:rFonts w:ascii="Arial Narrow" w:hAnsi="Arial Narrow"/>
          <w:lang w:val="en-US"/>
        </w:rPr>
        <w:t>hmotne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zachytiteľná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podstata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Projektu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ktorej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nadobudnutie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realizácia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rekonštrukcia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poskytnutie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alebo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iné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aktivity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opísané</w:t>
      </w:r>
      <w:proofErr w:type="spellEnd"/>
      <w:r w:rsidRPr="16E676F2">
        <w:rPr>
          <w:rFonts w:ascii="Arial Narrow" w:hAnsi="Arial Narrow"/>
          <w:lang w:val="en-US"/>
        </w:rPr>
        <w:t xml:space="preserve"> v </w:t>
      </w:r>
      <w:proofErr w:type="spellStart"/>
      <w:r w:rsidRPr="16E676F2">
        <w:rPr>
          <w:rFonts w:ascii="Arial Narrow" w:hAnsi="Arial Narrow"/>
          <w:lang w:val="en-US"/>
        </w:rPr>
        <w:t>Projekte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boli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spolufinancované</w:t>
      </w:r>
      <w:proofErr w:type="spellEnd"/>
      <w:r w:rsidRPr="16E676F2">
        <w:rPr>
          <w:rFonts w:ascii="Arial Narrow" w:hAnsi="Arial Narrow"/>
          <w:lang w:val="en-US"/>
        </w:rPr>
        <w:t xml:space="preserve"> z </w:t>
      </w:r>
      <w:proofErr w:type="spellStart"/>
      <w:r w:rsidR="00AE4BD5" w:rsidRPr="16E676F2">
        <w:rPr>
          <w:rFonts w:ascii="Arial Narrow" w:hAnsi="Arial Narrow"/>
          <w:lang w:val="en-US"/>
        </w:rPr>
        <w:t>P</w:t>
      </w:r>
      <w:r w:rsidRPr="16E676F2">
        <w:rPr>
          <w:rFonts w:ascii="Arial Narrow" w:hAnsi="Arial Narrow"/>
          <w:lang w:val="en-US"/>
        </w:rPr>
        <w:t>rostriedkov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mechanizmu</w:t>
      </w:r>
      <w:proofErr w:type="spellEnd"/>
      <w:r w:rsidRPr="16E676F2">
        <w:rPr>
          <w:rFonts w:ascii="Arial Narrow" w:hAnsi="Arial Narrow"/>
          <w:lang w:val="en-US"/>
        </w:rPr>
        <w:t xml:space="preserve">; </w:t>
      </w:r>
      <w:proofErr w:type="spellStart"/>
      <w:r w:rsidRPr="16E676F2">
        <w:rPr>
          <w:rFonts w:ascii="Arial Narrow" w:hAnsi="Arial Narrow"/>
          <w:lang w:val="en-US"/>
        </w:rPr>
        <w:t>môže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ísť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napríklad</w:t>
      </w:r>
      <w:proofErr w:type="spellEnd"/>
      <w:r w:rsidRPr="16E676F2">
        <w:rPr>
          <w:rFonts w:ascii="Arial Narrow" w:hAnsi="Arial Narrow"/>
          <w:lang w:val="en-US"/>
        </w:rPr>
        <w:t xml:space="preserve"> o </w:t>
      </w:r>
      <w:proofErr w:type="spellStart"/>
      <w:r w:rsidRPr="16E676F2">
        <w:rPr>
          <w:rFonts w:ascii="Arial Narrow" w:hAnsi="Arial Narrow"/>
          <w:lang w:val="en-US"/>
        </w:rPr>
        <w:t>stavbu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zariadenie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dokumentáciu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inú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vec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majetkovú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hodnotu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alebo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právo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pričom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jeden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Projekt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môže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zahŕňať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aj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viacero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Predmetov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16E676F2">
        <w:rPr>
          <w:rFonts w:ascii="Arial Narrow" w:hAnsi="Arial Narrow"/>
          <w:lang w:val="en-US"/>
        </w:rPr>
        <w:t>Projektu</w:t>
      </w:r>
      <w:proofErr w:type="spellEnd"/>
      <w:r w:rsidR="004D63E1" w:rsidRPr="16E676F2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16E676F2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16E676F2">
        <w:rPr>
          <w:rFonts w:ascii="Arial Narrow" w:hAnsi="Arial Narrow"/>
          <w:b/>
          <w:bCs/>
          <w:lang w:val="en-US"/>
        </w:rPr>
        <w:t>Princíp</w:t>
      </w:r>
      <w:proofErr w:type="spellEnd"/>
      <w:r w:rsidRPr="16E676F2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16E676F2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16E676F2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16E676F2">
        <w:rPr>
          <w:rFonts w:ascii="Arial Narrow" w:hAnsi="Arial Narrow"/>
          <w:b/>
          <w:bCs/>
          <w:lang w:val="en-US"/>
        </w:rPr>
        <w:t>nenarušiť</w:t>
      </w:r>
      <w:proofErr w:type="spellEnd"/>
      <w:r w:rsidRPr="16E676F2">
        <w:rPr>
          <w:rFonts w:ascii="Arial Narrow" w:hAnsi="Arial Narrow"/>
          <w:b/>
          <w:bCs/>
          <w:lang w:val="en-US"/>
        </w:rPr>
        <w:t>“</w:t>
      </w:r>
      <w:r w:rsidR="00411D5F" w:rsidRPr="16E676F2">
        <w:rPr>
          <w:rFonts w:ascii="Arial Narrow" w:hAnsi="Arial Narrow"/>
          <w:b/>
          <w:bCs/>
          <w:lang w:val="en-US"/>
        </w:rPr>
        <w:t xml:space="preserve"> </w:t>
      </w:r>
      <w:r w:rsidR="00411D5F" w:rsidRPr="16E676F2">
        <w:rPr>
          <w:rFonts w:ascii="Arial Narrow" w:hAnsi="Arial Narrow"/>
          <w:lang w:val="en-US"/>
        </w:rPr>
        <w:t>–</w:t>
      </w:r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znamená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nepodporovať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alebo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nevykonávať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hospodárske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činnosti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ktoré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výrazne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poškodzujú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akékoľvek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environmentálne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ciele</w:t>
      </w:r>
      <w:proofErr w:type="spellEnd"/>
      <w:r w:rsidRPr="16E676F2">
        <w:rPr>
          <w:rFonts w:ascii="Arial Narrow" w:hAnsi="Arial Narrow"/>
          <w:lang w:val="en-US"/>
        </w:rPr>
        <w:t xml:space="preserve">, v </w:t>
      </w:r>
      <w:proofErr w:type="spellStart"/>
      <w:r w:rsidRPr="16E676F2">
        <w:rPr>
          <w:rFonts w:ascii="Arial Narrow" w:hAnsi="Arial Narrow"/>
          <w:lang w:val="en-US"/>
        </w:rPr>
        <w:t>relevantných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prípadoch</w:t>
      </w:r>
      <w:proofErr w:type="spellEnd"/>
      <w:r w:rsidRPr="16E676F2">
        <w:rPr>
          <w:rFonts w:ascii="Arial Narrow" w:hAnsi="Arial Narrow"/>
          <w:lang w:val="en-US"/>
        </w:rPr>
        <w:t xml:space="preserve"> v </w:t>
      </w:r>
      <w:proofErr w:type="spellStart"/>
      <w:r w:rsidRPr="16E676F2">
        <w:rPr>
          <w:rFonts w:ascii="Arial Narrow" w:hAnsi="Arial Narrow"/>
          <w:lang w:val="en-US"/>
        </w:rPr>
        <w:t>zmysle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článku</w:t>
      </w:r>
      <w:proofErr w:type="spellEnd"/>
      <w:r w:rsidRPr="16E676F2">
        <w:rPr>
          <w:rFonts w:ascii="Arial Narrow" w:hAnsi="Arial Narrow"/>
          <w:lang w:val="en-US"/>
        </w:rPr>
        <w:t xml:space="preserve"> 17 </w:t>
      </w:r>
      <w:proofErr w:type="spellStart"/>
      <w:r w:rsidRPr="16E676F2">
        <w:rPr>
          <w:rFonts w:ascii="Arial Narrow" w:hAnsi="Arial Narrow"/>
          <w:lang w:val="en-US"/>
        </w:rPr>
        <w:t>nariadenia</w:t>
      </w:r>
      <w:proofErr w:type="spellEnd"/>
      <w:r w:rsidRPr="16E676F2">
        <w:rPr>
          <w:rFonts w:ascii="Arial Narrow" w:hAnsi="Arial Narrow"/>
          <w:lang w:val="en-US"/>
        </w:rPr>
        <w:t xml:space="preserve"> (EÚ) 2020/852;</w:t>
      </w:r>
    </w:p>
    <w:p w14:paraId="13E0DF63" w14:textId="6C6DC0B7" w:rsidR="00192B51" w:rsidRPr="00447E83" w:rsidRDefault="00192B51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</w:pPr>
      <w:r w:rsidRPr="00447E83">
        <w:rPr>
          <w:rFonts w:ascii="Arial Narrow" w:hAnsi="Arial Narrow"/>
          <w:b/>
          <w:bCs/>
          <w:sz w:val="22"/>
          <w:szCs w:val="22"/>
          <w:lang w:val="sk-SK"/>
        </w:rPr>
        <w:t xml:space="preserve">Príjemca osobných údajov - </w:t>
      </w:r>
      <w:r w:rsidRPr="00447E83">
        <w:rPr>
          <w:rFonts w:ascii="Arial Narrow" w:hAnsi="Arial Narrow"/>
          <w:sz w:val="22"/>
          <w:szCs w:val="22"/>
          <w:lang w:val="sk-SK"/>
        </w:rPr>
        <w:t>je fyzická osoba alebo právnická osoba, orgán verejnej moci, agentúra alebo iný subjekt, ktorému sa osobné údaje poskytujú bez ohľadu na to, či je treťou stranou, v súlade s vymedzením príjemcu podľa všeobecného nariadenia o ochrane údajov. Orgány verejnej moci, ktoré môžu prijať osobné údaje v rámci konkrétneho zisťovania v súlade s právom EÚ alebo právom členského štátu, sa nepovažujú za Príjemcov osobných údajov; spracúvanie uvedených údajov uvedenými orgánmi verejnej moci sa uskutočňuje v súlade s uplatniteľnými pravidlami ochrany údajov v závislosti od účelov spracúvania,</w:t>
      </w:r>
    </w:p>
    <w:p w14:paraId="093B32EE" w14:textId="53D0FF59" w:rsidR="00D008B7" w:rsidRPr="00900AF8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Zmluvou;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lastRenderedPageBreak/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46227995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E4256D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c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</w:t>
      </w:r>
      <w:commentRangeStart w:id="3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commentRangeEnd w:id="3"/>
      <w:r w:rsidRPr="00900AF8">
        <w:rPr>
          <w:rFonts w:ascii="Arial Narrow" w:eastAsia="Calibri" w:hAnsi="Arial Narrow" w:cs="Times New Roman"/>
          <w:szCs w:val="22"/>
          <w:lang w:val="sk-SK" w:eastAsia="en-US"/>
        </w:rPr>
        <w:commentReference w:id="3"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5B357C11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</w:t>
      </w:r>
      <w:r w:rsidR="002F5BBE" w:rsidRPr="002F5BB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2023/2831 z 13. decembra 2023 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710F800B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4D63E1"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4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4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5" w:name="_Toc136876027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5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</w:t>
      </w:r>
      <w:r w:rsidR="00220997">
        <w:rPr>
          <w:rFonts w:ascii="Arial Narrow" w:hAnsi="Arial Narrow" w:cs="Times New Roman"/>
          <w:bCs/>
          <w:lang w:val="sk-SK"/>
        </w:rPr>
        <w:lastRenderedPageBreak/>
        <w:t>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viesť oddelenú účtovnú evidenciu o hospodárskej činnosti a nehospodárskej </w:t>
      </w:r>
      <w:commentRangeStart w:id="6"/>
      <w:r w:rsidR="005F7E19" w:rsidRPr="00900AF8">
        <w:rPr>
          <w:rFonts w:ascii="Arial Narrow" w:hAnsi="Arial Narrow" w:cs="Times New Roman"/>
          <w:bCs/>
          <w:lang w:val="sk-SK" w:eastAsia="sk-SK"/>
        </w:rPr>
        <w:t>činnosti</w:t>
      </w:r>
      <w:commentRangeEnd w:id="6"/>
      <w:r w:rsidR="00CE2264" w:rsidRPr="00900AF8">
        <w:rPr>
          <w:rStyle w:val="Odkaznakomentr"/>
          <w:rFonts w:ascii="Arial Narrow" w:eastAsiaTheme="minorEastAsia" w:hAnsi="Arial Narrow"/>
          <w:szCs w:val="20"/>
          <w:lang w:val="sk-SK" w:eastAsia="zh-CN"/>
        </w:rPr>
        <w:commentReference w:id="6"/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</w:t>
      </w:r>
      <w:r w:rsidR="0028118F" w:rsidRPr="00900AF8">
        <w:rPr>
          <w:rFonts w:ascii="Arial Narrow" w:hAnsi="Arial Narrow" w:cs="Times New Roman"/>
          <w:bCs/>
          <w:lang w:val="sk-SK" w:eastAsia="sk-SK"/>
        </w:rPr>
        <w:lastRenderedPageBreak/>
        <w:t>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27976E4C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</w:t>
      </w:r>
      <w:r w:rsidR="00390B94">
        <w:rPr>
          <w:rFonts w:ascii="Arial Narrow" w:hAnsi="Arial Narrow" w:cs="Times New Roman"/>
          <w:bCs/>
          <w:lang w:val="sk-SK" w:eastAsia="sk-SK"/>
        </w:rPr>
        <w:t xml:space="preserve">a SR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>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900AF8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77777777" w:rsidR="006639BF" w:rsidRPr="00900AF8" w:rsidRDefault="002B3583" w:rsidP="00A022A6">
      <w:pPr>
        <w:pStyle w:val="Nadpis2"/>
      </w:pPr>
      <w:bookmarkStart w:id="7" w:name="_Toc136876028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7"/>
    </w:p>
    <w:p w14:paraId="6FFD4A70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606EE2B1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54866FFD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32E00D7A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2DA89C88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lastRenderedPageBreak/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3DE948A0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51F88EDD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1DA906C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900AF8" w:rsidRDefault="001E61BB" w:rsidP="00A022A6">
      <w:pPr>
        <w:pStyle w:val="Nadpis2"/>
      </w:pPr>
      <w:bookmarkStart w:id="8" w:name="_Toc136876029"/>
      <w:r w:rsidRPr="00900AF8">
        <w:t>Č</w:t>
      </w:r>
      <w:r w:rsidR="00666159" w:rsidRPr="00900AF8">
        <w:t>lánok</w:t>
      </w:r>
      <w:r w:rsidRPr="00900AF8">
        <w:t xml:space="preserve"> 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8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246FDED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75019D" w:rsidRPr="0075019D"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najmä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taká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,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ktorá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je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posudzovaná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ako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podvod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,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korupcia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a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Konflikt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záujmov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,</w:t>
      </w:r>
    </w:p>
    <w:p w14:paraId="3FB806C2" w14:textId="370D6387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redstavujú </w:t>
      </w:r>
      <w:r w:rsidR="0075019D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vojité financovanie 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900AF8" w:rsidRDefault="001E61BB" w:rsidP="00A022A6">
      <w:pPr>
        <w:pStyle w:val="Nadpis2"/>
      </w:pPr>
      <w:bookmarkStart w:id="9" w:name="_Toc136876030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9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commentRangeStart w:id="10"/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commentRangeEnd w:id="10"/>
      <w:r w:rsidR="008A0389" w:rsidRPr="00900AF8">
        <w:rPr>
          <w:rStyle w:val="Odkaznakomentr"/>
          <w:rFonts w:ascii="Arial Narrow" w:hAnsi="Arial Narrow"/>
          <w:lang w:val="sk-SK"/>
        </w:rPr>
        <w:commentReference w:id="10"/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696DEF0C" w:rsidR="009E790D" w:rsidRPr="00951DDD" w:rsidRDefault="00D20E07" w:rsidP="00951DDD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653A6B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</w:t>
      </w:r>
      <w:r w:rsidR="0006358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</w:t>
      </w:r>
      <w:r w:rsidR="009E605D" w:rsidRPr="009E605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obdobie od nadobudnutia </w:t>
      </w:r>
      <w:r w:rsidR="009E605D" w:rsidRPr="009E605D">
        <w:rPr>
          <w:rFonts w:ascii="Arial Narrow" w:eastAsia="Calibri" w:hAnsi="Arial Narrow" w:cs="Arial"/>
          <w:b/>
          <w:bCs/>
          <w:sz w:val="22"/>
          <w:szCs w:val="22"/>
          <w:lang w:val="sk-SK" w:eastAsia="en-US"/>
        </w:rPr>
        <w:t xml:space="preserve">účinnosti </w:t>
      </w:r>
      <w:r w:rsidR="009E605D">
        <w:rPr>
          <w:rFonts w:ascii="Arial Narrow" w:eastAsia="Calibri" w:hAnsi="Arial Narrow" w:cs="Arial"/>
          <w:sz w:val="22"/>
          <w:szCs w:val="22"/>
          <w:lang w:val="sk-SK" w:eastAsia="en-US"/>
        </w:rPr>
        <w:t>tejto zmluvy</w:t>
      </w:r>
      <w:r w:rsidR="009E605D" w:rsidRPr="009E605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do momentu </w:t>
      </w:r>
      <w:r w:rsidR="009E605D" w:rsidRPr="009E605D">
        <w:rPr>
          <w:rFonts w:ascii="Arial Narrow" w:eastAsia="Calibri" w:hAnsi="Arial Narrow" w:cs="Arial"/>
          <w:b/>
          <w:bCs/>
          <w:sz w:val="22"/>
          <w:szCs w:val="22"/>
          <w:lang w:val="sk-SK" w:eastAsia="en-US"/>
        </w:rPr>
        <w:t>ukončenia realizácie aktivít projektu</w:t>
      </w:r>
    </w:p>
    <w:p w14:paraId="75CE3618" w14:textId="2DAAF75F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odpočet plnenia opatrení prijatých na odstránenie nedostatkov a príčin ich vzniku identifikovaných finančnou kontrolou, </w:t>
      </w:r>
      <w:r w:rsidR="00CD719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prezenčné listiny z podujatí, fotodokumentáciu z podujatí,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6F54B798" w:rsidR="006639BF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2B0A700C" w14:textId="4F689335" w:rsidR="00D32EE3" w:rsidRDefault="009E605D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je povinný 5 pracovných dní pred uskutočnením podujatia informovať Vykonávateľa o dátume a presnej adrese realizácie podujatia a programe podujatia. V prípade, ak Prijímateľ bude realizovať podujatie online, zašle Vykonávateľovi </w:t>
      </w:r>
      <w:proofErr w:type="spellStart"/>
      <w:r>
        <w:rPr>
          <w:rFonts w:ascii="Arial Narrow" w:eastAsia="Calibri" w:hAnsi="Arial Narrow" w:cs="Arial"/>
          <w:sz w:val="22"/>
          <w:szCs w:val="22"/>
          <w:lang w:val="sk-SK" w:eastAsia="en-US"/>
        </w:rPr>
        <w:t>link</w:t>
      </w:r>
      <w:proofErr w:type="spellEnd"/>
      <w:r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na podujatie. </w:t>
      </w:r>
      <w:r w:rsidR="0005739F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V prípade ak Prijímateľ neoznámi dátum a presnú adresu konania podujatia Vykonávateľovi ide o </w:t>
      </w:r>
      <w:r w:rsidR="0005739F" w:rsidRPr="00900AF8">
        <w:rPr>
          <w:rFonts w:ascii="Arial Narrow" w:eastAsia="Calibri" w:hAnsi="Arial Narrow" w:cs="Times New Roman"/>
          <w:bCs/>
          <w:sz w:val="22"/>
          <w:lang w:val="sk-SK"/>
        </w:rPr>
        <w:t>podstatné porušenie Zmluvy</w:t>
      </w:r>
      <w:r w:rsidR="0005739F">
        <w:rPr>
          <w:rFonts w:ascii="Arial Narrow" w:eastAsia="Calibri" w:hAnsi="Arial Narrow" w:cs="Times New Roman"/>
          <w:bCs/>
          <w:sz w:val="22"/>
          <w:lang w:val="sk-SK"/>
        </w:rPr>
        <w:t xml:space="preserve"> podľa čl. 11. </w:t>
      </w:r>
    </w:p>
    <w:p w14:paraId="5AD504B9" w14:textId="7EB3C7DD" w:rsidR="00D32EE3" w:rsidRDefault="009E605D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Vykonávateľ si vyhradzuje právo zúčastniť sa na podujatí aj bez toho, aby informoval o svojej účasti Prijímateľa.</w:t>
      </w:r>
      <w:r w:rsidR="00732B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4D5E402" w14:textId="041DB407" w:rsidR="006639BF" w:rsidRPr="00D61E76" w:rsidRDefault="00732B76" w:rsidP="00D61E7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je povinný umožniť Vykonávateľovi </w:t>
      </w:r>
      <w:r w:rsidR="0005739F"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bezplatný </w:t>
      </w:r>
      <w:r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>vstup na podujatie a poskytnúť súčinnosť.</w:t>
      </w:r>
      <w:r w:rsidR="0005739F"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prípade, ak Prijímateľ neumožní Vykonávateľovi bezplatný vstup na podujatie ide o </w:t>
      </w:r>
      <w:r w:rsidR="0005739F" w:rsidRPr="00D61E76">
        <w:rPr>
          <w:rFonts w:ascii="Arial Narrow" w:eastAsia="Calibri" w:hAnsi="Arial Narrow" w:cs="Times New Roman"/>
          <w:bCs/>
          <w:sz w:val="22"/>
          <w:lang w:val="sk-SK"/>
        </w:rPr>
        <w:t>podstatné porušenie Zmluvy podľa čl. 11.</w:t>
      </w:r>
    </w:p>
    <w:p w14:paraId="005E841D" w14:textId="2FEC0734" w:rsidR="007C4B14" w:rsidRPr="00677726" w:rsidRDefault="00D61E76" w:rsidP="00677726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  <w:r w:rsidRPr="00D61E76">
        <w:rPr>
          <w:rFonts w:ascii="Arial Narrow" w:eastAsia="Calibri" w:hAnsi="Arial Narrow" w:cs="Times New Roman"/>
          <w:bCs/>
          <w:sz w:val="22"/>
          <w:lang w:val="sk-SK"/>
        </w:rPr>
        <w:t xml:space="preserve">Prijímateľ </w:t>
      </w:r>
      <w:r w:rsidR="00677726">
        <w:rPr>
          <w:rFonts w:ascii="Arial Narrow" w:eastAsia="Calibri" w:hAnsi="Arial Narrow" w:cs="Times New Roman"/>
          <w:bCs/>
          <w:sz w:val="22"/>
          <w:lang w:val="sk-SK"/>
        </w:rPr>
        <w:t>požiada účastníkov podujatí o</w:t>
      </w:r>
      <w:r w:rsidRPr="00D61E76">
        <w:rPr>
          <w:rFonts w:ascii="Arial Narrow" w:eastAsia="Calibri" w:hAnsi="Arial Narrow" w:cs="Times New Roman"/>
          <w:bCs/>
          <w:sz w:val="22"/>
          <w:lang w:val="sk-SK"/>
        </w:rPr>
        <w:t xml:space="preserve"> spätnú väzbu prostredníctvom dotazníka, ktorého vzor bude zverejnený na webovom sídle Vykonávateľa. V</w:t>
      </w:r>
      <w:r w:rsidR="00677726">
        <w:rPr>
          <w:rFonts w:ascii="Arial Narrow" w:eastAsia="Calibri" w:hAnsi="Arial Narrow" w:cs="Times New Roman"/>
          <w:bCs/>
          <w:sz w:val="22"/>
          <w:lang w:val="sk-SK"/>
        </w:rPr>
        <w:t>šetky vyplnené</w:t>
      </w:r>
      <w:r w:rsidRPr="00D61E76">
        <w:rPr>
          <w:rFonts w:ascii="Arial Narrow" w:eastAsia="Calibri" w:hAnsi="Arial Narrow" w:cs="Times New Roman"/>
          <w:bCs/>
          <w:sz w:val="22"/>
          <w:lang w:val="sk-SK"/>
        </w:rPr>
        <w:t xml:space="preserve"> dotazníky Prijímateľ predkladá Vykonávateľovi </w:t>
      </w:r>
      <w:r>
        <w:rPr>
          <w:rFonts w:ascii="Arial Narrow" w:eastAsia="Calibri" w:hAnsi="Arial Narrow" w:cs="Times New Roman"/>
          <w:bCs/>
          <w:sz w:val="22"/>
          <w:lang w:val="sk-SK"/>
        </w:rPr>
        <w:t>spolu</w:t>
      </w:r>
      <w:r w:rsidR="00677726"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  <w:t xml:space="preserve"> </w:t>
      </w:r>
      <w:r w:rsidRPr="00677726">
        <w:rPr>
          <w:rFonts w:ascii="Arial Narrow" w:eastAsia="Calibri" w:hAnsi="Arial Narrow" w:cs="Times New Roman"/>
          <w:bCs/>
          <w:sz w:val="22"/>
          <w:lang w:val="sk-SK"/>
        </w:rPr>
        <w:t>so Záverečnou monitorovaciu správou.</w:t>
      </w:r>
    </w:p>
    <w:p w14:paraId="17F1885E" w14:textId="77777777" w:rsidR="00D61E76" w:rsidRPr="00D61E76" w:rsidRDefault="00D61E76" w:rsidP="00D61E76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contextualSpacing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900AF8" w:rsidRDefault="009553B2" w:rsidP="00A022A6">
      <w:pPr>
        <w:pStyle w:val="Nadpis2"/>
      </w:pPr>
      <w:bookmarkStart w:id="11" w:name="_Toc136876031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11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138976C" w14:textId="77777777" w:rsidR="00390B94" w:rsidRDefault="00390B94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2A3C7C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Osobné údaje Prijímateľa sú spracúvané v súlade s článkom </w:t>
      </w:r>
      <w:r>
        <w:rPr>
          <w:rFonts w:ascii="Arial Narrow" w:hAnsi="Arial Narrow"/>
          <w:lang w:val="sk-SK"/>
        </w:rPr>
        <w:t>5a</w:t>
      </w:r>
      <w:r w:rsidRPr="002A3C7C">
        <w:rPr>
          <w:rFonts w:ascii="Arial Narrow" w:hAnsi="Arial Narrow"/>
          <w:lang w:val="sk-SK"/>
        </w:rPr>
        <w:t xml:space="preserve"> Zmluvy o poskytnutí prostriedkov mechanizmu. </w:t>
      </w:r>
    </w:p>
    <w:p w14:paraId="160CF65F" w14:textId="3C8E1140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5C1B383A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</w:t>
      </w:r>
      <w:r w:rsidR="00C02283">
        <w:rPr>
          <w:rFonts w:ascii="Arial Narrow" w:hAnsi="Arial Narrow"/>
          <w:lang w:val="sk-SK"/>
        </w:rPr>
        <w:t>je</w:t>
      </w:r>
      <w:r w:rsidR="00FA40F5">
        <w:rPr>
          <w:rFonts w:ascii="Arial Narrow" w:hAnsi="Arial Narrow"/>
          <w:lang w:val="sk-SK"/>
        </w:rPr>
        <w:t xml:space="preserve">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7FDCCE4A" w:rsidR="00C52AD6" w:rsidRPr="00C02283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54E2ED4F" w14:textId="509ABACE" w:rsidR="00C02283" w:rsidRPr="00291D17" w:rsidRDefault="00C02283" w:rsidP="00291D17">
      <w:pPr>
        <w:pStyle w:val="Odsekzoznamu"/>
        <w:numPr>
          <w:ilvl w:val="2"/>
          <w:numId w:val="28"/>
        </w:numPr>
        <w:spacing w:line="240" w:lineRule="auto"/>
        <w:ind w:firstLine="104"/>
        <w:jc w:val="both"/>
        <w:rPr>
          <w:rFonts w:ascii="Arial Narrow" w:hAnsi="Arial Narrow"/>
          <w:bCs/>
          <w:lang w:val="sk-SK"/>
        </w:rPr>
      </w:pPr>
      <w:r w:rsidRPr="00C02283">
        <w:rPr>
          <w:rFonts w:ascii="Arial Narrow" w:hAnsi="Arial Narrow"/>
          <w:bCs/>
          <w:lang w:val="sk-SK"/>
        </w:rPr>
        <w:t xml:space="preserve">V prípade organizácie podujatí je prijímateľ povinný uviesť zdroj financovania prostredníctvom zobrazenia emblému s nápisom ,,Financované Európskou úniou </w:t>
      </w:r>
      <w:proofErr w:type="spellStart"/>
      <w:r w:rsidRPr="00C02283">
        <w:rPr>
          <w:rFonts w:ascii="Arial Narrow" w:hAnsi="Arial Narrow"/>
          <w:bCs/>
          <w:lang w:val="sk-SK"/>
        </w:rPr>
        <w:t>NextGenerationEU</w:t>
      </w:r>
      <w:proofErr w:type="spellEnd"/>
      <w:r w:rsidRPr="00C02283">
        <w:rPr>
          <w:rFonts w:ascii="Arial Narrow" w:hAnsi="Arial Narrow"/>
          <w:bCs/>
          <w:lang w:val="sk-SK"/>
        </w:rPr>
        <w:t xml:space="preserve">“ a povinné zobrazenie loga POO spolu s názvom opatrenia </w:t>
      </w:r>
      <w:r w:rsidR="00291D17" w:rsidRPr="00291D17">
        <w:rPr>
          <w:rFonts w:ascii="Arial Narrow" w:hAnsi="Arial Narrow"/>
          <w:bCs/>
          <w:lang w:val="sk-SK"/>
        </w:rPr>
        <w:t>Komponent 10: Lákanie a udržanie talentov</w:t>
      </w:r>
      <w:r w:rsidR="00291D17">
        <w:rPr>
          <w:rFonts w:ascii="Arial Narrow" w:hAnsi="Arial Narrow"/>
          <w:bCs/>
          <w:lang w:val="sk-SK"/>
        </w:rPr>
        <w:t xml:space="preserve">, </w:t>
      </w:r>
      <w:r w:rsidR="00291D17" w:rsidRPr="00291D17">
        <w:rPr>
          <w:rFonts w:ascii="Arial Narrow" w:hAnsi="Arial Narrow"/>
          <w:bCs/>
          <w:lang w:val="sk-SK"/>
        </w:rPr>
        <w:t>Investícia 2: Posilnenie vzťahov s diaspórou, podpora občianskych iniciatív</w:t>
      </w:r>
      <w:r w:rsidR="00291D17">
        <w:rPr>
          <w:rFonts w:ascii="Arial Narrow" w:hAnsi="Arial Narrow"/>
          <w:bCs/>
          <w:lang w:val="sk-SK"/>
        </w:rPr>
        <w:t xml:space="preserve"> </w:t>
      </w:r>
      <w:r w:rsidRPr="00291D17">
        <w:rPr>
          <w:rFonts w:ascii="Arial Narrow" w:hAnsi="Arial Narrow"/>
          <w:bCs/>
          <w:lang w:val="sk-SK"/>
        </w:rPr>
        <w:t>na plagáte minimálne formátu A5 na viditeľnom mieste v priestore konania podujatia.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900AF8" w:rsidRDefault="002B3583" w:rsidP="00A022A6">
      <w:pPr>
        <w:pStyle w:val="Nadpis2"/>
      </w:pPr>
      <w:bookmarkStart w:id="12" w:name="_Toc136876032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12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16E676F2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77777777" w:rsidR="006639BF" w:rsidRPr="00900AF8" w:rsidRDefault="002B3583" w:rsidP="00A022A6">
      <w:pPr>
        <w:pStyle w:val="Nadpis2"/>
      </w:pPr>
      <w:bookmarkStart w:id="13" w:name="_Toc136876033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13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 zároveň táto zmena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900AF8" w:rsidRDefault="002B3583" w:rsidP="00A022A6">
      <w:pPr>
        <w:pStyle w:val="Nadpis2"/>
      </w:pPr>
      <w:bookmarkStart w:id="14" w:name="_Toc136876034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14"/>
      <w:r w:rsidR="00172A41" w:rsidRPr="00900AF8">
        <w:t xml:space="preserve">  </w:t>
      </w:r>
    </w:p>
    <w:p w14:paraId="1471BB0E" w14:textId="77777777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159F1A7C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7FCBDF47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012A9DF6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62A2BE1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v písomnom oznámení uvedie skutočnosti,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4D3D675C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54A124F9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DC66D2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726693AA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2D226872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227E0C94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572E75A5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2EBC3714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3CF8F5EB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7AB4957" w:rsidR="00172A41" w:rsidRPr="00900AF8" w:rsidRDefault="00172A41" w:rsidP="16E676F2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322E7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7777777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60031FC7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662C7CC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2EF5AF18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900AF8" w:rsidRDefault="002B3583" w:rsidP="00A022A6">
      <w:pPr>
        <w:pStyle w:val="Nadpis2"/>
      </w:pPr>
      <w:bookmarkStart w:id="15" w:name="_Toc136876035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5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5AF81365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="00015602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 xml:space="preserve">10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0B1D6AAC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="00015602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10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1CA11397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900AF8" w:rsidRDefault="002B3583" w:rsidP="00A022A6">
      <w:pPr>
        <w:pStyle w:val="Nadpis2"/>
      </w:pPr>
      <w:bookmarkStart w:id="16" w:name="_Toc136876036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6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0102CBE4" w14:textId="7825BECE" w:rsidR="00DC6878" w:rsidRPr="00924F89" w:rsidRDefault="00DC6878" w:rsidP="00924F8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bookmarkStart w:id="17" w:name="_Hlk138927735"/>
      <w:r>
        <w:rPr>
          <w:rFonts w:ascii="Arial Narrow" w:eastAsia="Calibri" w:hAnsi="Arial Narrow" w:cs="Times New Roman"/>
          <w:sz w:val="22"/>
          <w:lang w:val="sk-SK"/>
        </w:rPr>
        <w:t>ak sa právoplatným rozhodnutím preukáže, že zo strany Prijímateľa došlo k</w:t>
      </w:r>
      <w:r w:rsidRPr="002E69DB">
        <w:rPr>
          <w:rFonts w:ascii="Arial Narrow" w:eastAsia="Calibri" w:hAnsi="Arial Narrow" w:cs="Times New Roman"/>
          <w:sz w:val="22"/>
          <w:lang w:val="sk-SK"/>
        </w:rPr>
        <w:t xml:space="preserve"> </w:t>
      </w:r>
      <w:r>
        <w:rPr>
          <w:rFonts w:ascii="Arial Narrow" w:eastAsia="Calibri" w:hAnsi="Arial Narrow" w:cs="Times New Roman"/>
          <w:sz w:val="22"/>
          <w:lang w:val="sk-SK"/>
        </w:rPr>
        <w:t>niektorej f</w:t>
      </w:r>
      <w:r w:rsidRPr="00EA4524">
        <w:rPr>
          <w:rFonts w:ascii="Arial Narrow" w:eastAsia="Calibri" w:hAnsi="Arial Narrow" w:cs="Times New Roman"/>
          <w:sz w:val="22"/>
          <w:lang w:val="sk-SK"/>
        </w:rPr>
        <w:t>orm</w:t>
      </w:r>
      <w:r>
        <w:rPr>
          <w:rFonts w:ascii="Arial Narrow" w:eastAsia="Calibri" w:hAnsi="Arial Narrow" w:cs="Times New Roman"/>
          <w:sz w:val="22"/>
          <w:lang w:val="sk-SK"/>
        </w:rPr>
        <w:t>e</w:t>
      </w:r>
      <w:r w:rsidRPr="00EA4524">
        <w:rPr>
          <w:rFonts w:ascii="Arial Narrow" w:eastAsia="Calibri" w:hAnsi="Arial Narrow" w:cs="Times New Roman"/>
          <w:sz w:val="22"/>
          <w:lang w:val="sk-SK"/>
        </w:rPr>
        <w:t xml:space="preserve"> nedovoleného obmedzovania súťaže</w:t>
      </w:r>
      <w:r w:rsidRPr="002E69DB">
        <w:rPr>
          <w:rFonts w:ascii="Arial Narrow" w:eastAsia="Calibri" w:hAnsi="Arial Narrow" w:cs="Times New Roman"/>
          <w:sz w:val="22"/>
          <w:lang w:val="sk-SK"/>
        </w:rPr>
        <w:t xml:space="preserve"> podľa zákona č. 187/2021 Z. z. o</w:t>
      </w:r>
      <w:r>
        <w:rPr>
          <w:rFonts w:ascii="Arial Narrow" w:eastAsia="Calibri" w:hAnsi="Arial Narrow" w:cs="Times New Roman"/>
          <w:sz w:val="22"/>
          <w:lang w:val="sk-SK"/>
        </w:rPr>
        <w:t> </w:t>
      </w:r>
      <w:r w:rsidRPr="002E69DB">
        <w:rPr>
          <w:rFonts w:ascii="Arial Narrow" w:eastAsia="Calibri" w:hAnsi="Arial Narrow" w:cs="Times New Roman"/>
          <w:sz w:val="22"/>
          <w:lang w:val="sk-SK"/>
        </w:rPr>
        <w:t>ochrane hospodárskej súťaže</w:t>
      </w:r>
      <w:bookmarkEnd w:id="17"/>
      <w:r w:rsidRPr="002E69DB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675AD8B3" w14:textId="6EEC799F" w:rsidR="0005739F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každé porušenie povinností Prijímateľa, ktoré je v Zmluve označené ako podstatné porušenie povinností alebo podstatné porušenie Zmluvy</w:t>
      </w:r>
      <w:r w:rsidR="0005739F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5EFA52AE" w14:textId="1B1F3DD6" w:rsidR="00073BE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F34C36">
        <w:rPr>
          <w:rFonts w:ascii="Arial Narrow" w:eastAsia="Calibri" w:hAnsi="Arial Narrow" w:cs="Times New Roman"/>
          <w:bCs/>
          <w:sz w:val="22"/>
          <w:lang w:val="sk-SK"/>
        </w:rPr>
        <w:t>ak Prijímateľ neinformuje Vykonávateľa o dátume a presnej adrese realizácie podujatia 5 pracovných dní pred uskutočnením podujatia,</w:t>
      </w:r>
    </w:p>
    <w:p w14:paraId="6F44399A" w14:textId="6E46D826" w:rsidR="00F34C36" w:rsidRPr="00900AF8" w:rsidRDefault="00F34C36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ak Prijímateľ neumožní Vykonávateľovi bezplatný vstup na podujatie.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900AF8" w:rsidRDefault="001E61BB" w:rsidP="00A022A6">
      <w:pPr>
        <w:pStyle w:val="Nadpis2"/>
      </w:pPr>
      <w:bookmarkStart w:id="18" w:name="_Toc136876037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8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16E676F2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prípade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9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00E68EDF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commentRangeStart w:id="20"/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Eur</w:t>
      </w:r>
      <w:commentRangeEnd w:id="20"/>
      <w:r w:rsidR="002C67C0" w:rsidRPr="00ED7A8E">
        <w:rPr>
          <w:rFonts w:ascii="Arial Narrow" w:eastAsia="Times New Roman" w:hAnsi="Arial Narrow" w:cs="Calibri"/>
          <w:sz w:val="22"/>
          <w:lang w:val="sk-SK" w:eastAsia="sk-SK"/>
        </w:rPr>
        <w:commentReference w:id="20"/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9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900AF8" w:rsidRDefault="001E61BB" w:rsidP="00A022A6">
      <w:pPr>
        <w:pStyle w:val="Nadpis2"/>
      </w:pPr>
      <w:bookmarkStart w:id="21" w:name="_Toc136876038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21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</w:t>
      </w:r>
      <w:commentRangeStart w:id="22"/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auditov</w:t>
      </w:r>
      <w:commentRangeEnd w:id="22"/>
      <w:r w:rsidR="007E5FD0">
        <w:rPr>
          <w:rStyle w:val="Odkaznakomentr"/>
        </w:rPr>
        <w:commentReference w:id="22"/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lastRenderedPageBreak/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900AF8" w:rsidRDefault="001E61BB" w:rsidP="00A022A6">
      <w:pPr>
        <w:pStyle w:val="Nadpis2"/>
      </w:pPr>
      <w:bookmarkStart w:id="23" w:name="_Toc136876039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23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6C10316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E2768A" w:rsidRP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commentRangeStart w:id="24"/>
      <w:commentRangeEnd w:id="24"/>
      <w:r w:rsidR="00434602" w:rsidRPr="001523E0">
        <w:rPr>
          <w:rStyle w:val="Odkaznakomentr"/>
          <w:rFonts w:ascii="Arial Narrow" w:hAnsi="Arial Narrow"/>
          <w:highlight w:val="yellow"/>
          <w:lang w:val="sk-SK"/>
        </w:rPr>
        <w:commentReference w:id="24"/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commentRangeStart w:id="25"/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commentRangeEnd w:id="25"/>
      <w:r w:rsidR="005C3CF4" w:rsidRPr="0081753C">
        <w:rPr>
          <w:rStyle w:val="Odkaznakomentr"/>
          <w:rFonts w:ascii="Arial Narrow" w:hAnsi="Arial Narrow"/>
          <w:highlight w:val="yellow"/>
          <w:lang w:val="sk-SK"/>
        </w:rPr>
        <w:commentReference w:id="25"/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900AF8" w:rsidRDefault="001E61BB" w:rsidP="00A022A6">
      <w:pPr>
        <w:pStyle w:val="Nadpis2"/>
      </w:pPr>
      <w:bookmarkStart w:id="26" w:name="_Toc136876040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26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č. 23054/2002-92, ktorým sa ustanovujú podrobnosti o postupoch účtovania a rámcovej účtovej osnove pre podnikateľov účtujúcich v sústave podvojného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900AF8" w:rsidRDefault="001E61BB" w:rsidP="00A022A6">
      <w:pPr>
        <w:pStyle w:val="Nadpis2"/>
      </w:pPr>
      <w:bookmarkStart w:id="27" w:name="_Toc136876041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27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900AF8" w:rsidRDefault="001E61BB" w:rsidP="00A022A6">
      <w:pPr>
        <w:pStyle w:val="Nadpis2"/>
      </w:pPr>
      <w:bookmarkStart w:id="28" w:name="_Toc136876042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28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24870CEE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 xml:space="preserve">Bezodkladne, od kedy sa o tejto skutočnosti dozvie; ak sa o skutočnosti, že došlo k vyplateniu alebo </w:t>
      </w:r>
      <w:r w:rsidRPr="00850BDD">
        <w:rPr>
          <w:rFonts w:ascii="Arial Narrow" w:hAnsi="Arial Narrow"/>
          <w:sz w:val="22"/>
          <w:szCs w:val="22"/>
          <w:lang w:val="sk-SK"/>
        </w:rPr>
        <w:lastRenderedPageBreak/>
        <w:t>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350424B1" w14:textId="14AD77EF" w:rsidR="003A1F46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01A2ED0" w:rsidR="006639BF" w:rsidRPr="00900AF8" w:rsidRDefault="00CC6FD7" w:rsidP="00A022A6">
      <w:pPr>
        <w:pStyle w:val="Nadpis2"/>
      </w:pPr>
      <w:bookmarkStart w:id="29" w:name="_Toc136876043"/>
      <w:r w:rsidRPr="008E7CF3">
        <w:t>Článok 17</w:t>
      </w:r>
      <w:r w:rsidR="005C62AD">
        <w:t>a</w:t>
      </w:r>
      <w:r w:rsidRPr="008E7CF3">
        <w:t>. Systém zálohových platieb</w:t>
      </w:r>
      <w:bookmarkEnd w:id="29"/>
    </w:p>
    <w:p w14:paraId="2A597ECE" w14:textId="77777777" w:rsidR="00CC6FD7" w:rsidRPr="00900AF8" w:rsidRDefault="00CC6FD7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779E8FD" w:rsidR="006D14E6" w:rsidRPr="006D14E6" w:rsidRDefault="00CC6FD7" w:rsidP="16E676F2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</w:rPr>
      </w:pPr>
      <w:proofErr w:type="spellStart"/>
      <w:r w:rsidRPr="16E676F2">
        <w:rPr>
          <w:rFonts w:ascii="Arial Narrow" w:hAnsi="Arial Narrow"/>
        </w:rPr>
        <w:t>Prijímateľ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predkladá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Vykonávateľovi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ŽoP</w:t>
      </w:r>
      <w:proofErr w:type="spellEnd"/>
      <w:r w:rsidRPr="16E676F2">
        <w:rPr>
          <w:rFonts w:ascii="Arial Narrow" w:hAnsi="Arial Narrow"/>
        </w:rPr>
        <w:t xml:space="preserve"> – </w:t>
      </w:r>
      <w:proofErr w:type="spellStart"/>
      <w:r w:rsidRPr="16E676F2">
        <w:rPr>
          <w:rFonts w:ascii="Arial Narrow" w:hAnsi="Arial Narrow"/>
        </w:rPr>
        <w:t>poskytnutie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zálohovej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platby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maximálne</w:t>
      </w:r>
      <w:proofErr w:type="spellEnd"/>
      <w:r w:rsidRPr="16E676F2">
        <w:rPr>
          <w:rFonts w:ascii="Arial Narrow" w:hAnsi="Arial Narrow"/>
        </w:rPr>
        <w:t xml:space="preserve"> do </w:t>
      </w:r>
      <w:proofErr w:type="spellStart"/>
      <w:r w:rsidRPr="16E676F2">
        <w:rPr>
          <w:rFonts w:ascii="Arial Narrow" w:hAnsi="Arial Narrow"/>
        </w:rPr>
        <w:t>výšky</w:t>
      </w:r>
      <w:proofErr w:type="spellEnd"/>
      <w:r w:rsidRPr="16E676F2">
        <w:rPr>
          <w:rFonts w:ascii="Arial Narrow" w:hAnsi="Arial Narrow"/>
        </w:rPr>
        <w:t xml:space="preserve"> </w:t>
      </w:r>
      <w:r w:rsidR="00015602" w:rsidRPr="16E676F2">
        <w:rPr>
          <w:rFonts w:ascii="Arial Narrow" w:hAnsi="Arial Narrow"/>
        </w:rPr>
        <w:t>40%</w:t>
      </w:r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alokácie</w:t>
      </w:r>
      <w:proofErr w:type="spellEnd"/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určenej</w:t>
      </w:r>
      <w:proofErr w:type="spellEnd"/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na</w:t>
      </w:r>
      <w:proofErr w:type="spellEnd"/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projekt</w:t>
      </w:r>
      <w:proofErr w:type="spellEnd"/>
      <w:r w:rsidR="00610C1A" w:rsidRPr="16E676F2">
        <w:rPr>
          <w:rFonts w:ascii="Arial Narrow" w:hAnsi="Arial Narrow"/>
        </w:rPr>
        <w:t xml:space="preserve">.  </w:t>
      </w:r>
      <w:r w:rsidRPr="16E676F2">
        <w:rPr>
          <w:rFonts w:ascii="Arial Narrow" w:hAnsi="Arial Narrow"/>
        </w:rPr>
        <w:t xml:space="preserve"> </w:t>
      </w:r>
    </w:p>
    <w:p w14:paraId="4A1B961C" w14:textId="205C449E" w:rsidR="00CC6FD7" w:rsidRPr="006D14E6" w:rsidRDefault="00CC6FD7" w:rsidP="006D14E6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1523EA4B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lastRenderedPageBreak/>
        <w:t>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13F84462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06D779D8" w:rsidR="00CC6FD7" w:rsidRPr="0093063C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FCE15BD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815A0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36685A04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163B70E5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</w:t>
      </w:r>
      <w:r w:rsidRPr="00447E83">
        <w:rPr>
          <w:rFonts w:ascii="Arial Narrow" w:hAnsi="Arial Narrow"/>
          <w:lang w:val="sk-SK"/>
        </w:rPr>
        <w:t xml:space="preserve">do </w:t>
      </w:r>
      <w:r w:rsidR="005C62AD" w:rsidRPr="00447E83">
        <w:rPr>
          <w:rFonts w:ascii="Arial Narrow" w:hAnsi="Arial Narrow"/>
          <w:lang w:val="sk-SK"/>
        </w:rPr>
        <w:t>30</w:t>
      </w:r>
      <w:r w:rsidRPr="00447E83">
        <w:rPr>
          <w:rFonts w:ascii="Arial Narrow" w:hAnsi="Arial Narrow"/>
          <w:lang w:val="sk-SK"/>
        </w:rPr>
        <w:t xml:space="preserve"> dní po</w:t>
      </w:r>
      <w:r w:rsidRPr="00900AF8">
        <w:rPr>
          <w:rFonts w:ascii="Arial Narrow" w:hAnsi="Arial Narrow"/>
          <w:lang w:val="sk-SK"/>
        </w:rPr>
        <w:t xml:space="preserve">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2EC519EF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540258A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2EBA2D1D" w:rsidR="006639BF" w:rsidRPr="008E7CF3" w:rsidRDefault="00CC6FD7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4FE10008" w:rsidR="006C6414" w:rsidRPr="00900AF8" w:rsidRDefault="006C6414" w:rsidP="00A022A6">
      <w:pPr>
        <w:pStyle w:val="Nadpis2"/>
      </w:pPr>
      <w:bookmarkStart w:id="30" w:name="_Toc136876044"/>
      <w:r w:rsidRPr="008E7CF3">
        <w:lastRenderedPageBreak/>
        <w:t>Článok 17</w:t>
      </w:r>
      <w:r w:rsidR="00443639">
        <w:t>b</w:t>
      </w:r>
      <w:r w:rsidRPr="008E7CF3">
        <w:t>. Systém refundácie</w:t>
      </w:r>
      <w:bookmarkEnd w:id="30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17100288" w:rsidR="006C6414" w:rsidRPr="004E7394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p w14:paraId="5C3DCA4F" w14:textId="4973C066" w:rsidR="004E7394" w:rsidRDefault="004E7394" w:rsidP="004E7394">
      <w:pPr>
        <w:autoSpaceDE w:val="0"/>
        <w:autoSpaceDN w:val="0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8E75019" w14:textId="1D0377BF" w:rsidR="004E7394" w:rsidRDefault="004E7394" w:rsidP="004E7394">
      <w:pPr>
        <w:pStyle w:val="Nadpis2"/>
      </w:pPr>
      <w:r>
        <w:t>Článok 18. Dodržiavanie medzinárodných sankcií</w:t>
      </w:r>
    </w:p>
    <w:p w14:paraId="488BCB21" w14:textId="77777777" w:rsidR="004E7394" w:rsidRPr="004E7394" w:rsidRDefault="004E7394" w:rsidP="004E739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005D30" w14:textId="0FB4C8B2" w:rsidR="004E7394" w:rsidRPr="004E7394" w:rsidRDefault="004E7394" w:rsidP="004E7394">
      <w:pPr>
        <w:pStyle w:val="Odsekzoznamu"/>
        <w:numPr>
          <w:ilvl w:val="0"/>
          <w:numId w:val="48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Žiadateľ sa zaväzuje pri plnení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 xml:space="preserve"> dodržiavať zákazy a obmedzenia uplatňované v Slovenskej republike a v Európskej únii podľa zákona č. 289/2016 Z. z. o vykonávaní medzinárodných sankcií a o doplnení zákona č. 566/2001 Z. z. o cenných papieroch a investičných službách a o zmene a doplnení niektorých zákonov (zákon o cenných papieroch) v znení neskorších predpisov (ďalej len </w:t>
      </w:r>
      <w:r w:rsidRPr="004E7394">
        <w:rPr>
          <w:rFonts w:ascii="Arial Narrow" w:eastAsia="Times New Roman" w:hAnsi="Arial Narrow" w:cs="Times New Roman"/>
          <w:lang w:val="sk-SK"/>
        </w:rPr>
        <w:t>„zákon č. 289/2016 Z. z.“</w:t>
      </w:r>
      <w:r w:rsidRPr="004E7394">
        <w:rPr>
          <w:rFonts w:ascii="Arial Narrow" w:eastAsia="Times New Roman" w:hAnsi="Arial Narrow" w:cs="Times New Roman"/>
          <w:bCs/>
          <w:lang w:val="sk-SK"/>
        </w:rPr>
        <w:t xml:space="preserve">) v súlade s čestným vyhlásením k uplatňovaniu medzinárodných sankcií, ktoré tvorí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.</w:t>
      </w:r>
    </w:p>
    <w:p w14:paraId="5703A166" w14:textId="310F4BB3" w:rsidR="004E7394" w:rsidRPr="004E7394" w:rsidRDefault="004E7394" w:rsidP="004E7394">
      <w:pPr>
        <w:pStyle w:val="Odsekzoznamu"/>
        <w:numPr>
          <w:ilvl w:val="0"/>
          <w:numId w:val="48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Žiadateľ sa zaväzuje, že ak poruší svoje povinnosti v odseku 1 tohto článku, alebo záväzky z čestného vyhlásenia k uplatňovaniu medzinárodných sankcií, tvoriaceho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, najmä ak poruší alebo obíde medzinárodné sankcie, uhradí Vykonávateľovi všetky škody, ktoré mu vznikli.</w:t>
      </w:r>
    </w:p>
    <w:p w14:paraId="4153B147" w14:textId="77C86AF8" w:rsidR="004E7394" w:rsidRPr="004E7394" w:rsidRDefault="004E7394" w:rsidP="004E7394">
      <w:pPr>
        <w:pStyle w:val="Odsekzoznamu"/>
        <w:numPr>
          <w:ilvl w:val="0"/>
          <w:numId w:val="48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Žiadateľ vyhlasuje, že v prípade, ak pri plnení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 xml:space="preserve"> </w:t>
      </w:r>
    </w:p>
    <w:p w14:paraId="42C4C7DC" w14:textId="77777777" w:rsidR="004E7394" w:rsidRPr="004E7394" w:rsidRDefault="004E7394" w:rsidP="004E7394">
      <w:pPr>
        <w:pStyle w:val="Odsekzoznamu"/>
        <w:numPr>
          <w:ilvl w:val="1"/>
          <w:numId w:val="48"/>
        </w:numPr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>nedodrží zákazy a obmedzenia podľa zákona č. 289/2016 Z. z,</w:t>
      </w:r>
    </w:p>
    <w:p w14:paraId="12341F50" w14:textId="1BBCEFB7" w:rsidR="004E7394" w:rsidRPr="004E7394" w:rsidRDefault="004E7394" w:rsidP="004E7394">
      <w:pPr>
        <w:pStyle w:val="Odsekzoznamu"/>
        <w:numPr>
          <w:ilvl w:val="1"/>
          <w:numId w:val="48"/>
        </w:numPr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poruší svoje záväzky z čestného vyhlásenia k uplatňovaniu medzinárodných sankcií, tvoriaceho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, najmä ak poruší alebo obíde medzinárodné sankcie, alebo svojim konaním spôsobí, že takýto následok hrozil, alebo mohol nastať,</w:t>
      </w:r>
    </w:p>
    <w:p w14:paraId="74A1F21D" w14:textId="6A732409" w:rsidR="004E7394" w:rsidRPr="004E7394" w:rsidRDefault="004E7394" w:rsidP="004E7394">
      <w:pPr>
        <w:pStyle w:val="Odsekzoznamu"/>
        <w:numPr>
          <w:ilvl w:val="1"/>
          <w:numId w:val="48"/>
        </w:numPr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podá vedomé nepravdivé čestné vyhlásením k uplatňovaniu medzinárodných sankcií, tvoriace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,</w:t>
      </w:r>
    </w:p>
    <w:p w14:paraId="03D22944" w14:textId="18552F3F" w:rsidR="004E7394" w:rsidRPr="004E7394" w:rsidRDefault="004E7394" w:rsidP="004E7394">
      <w:pPr>
        <w:ind w:left="426"/>
        <w:jc w:val="both"/>
        <w:rPr>
          <w:rFonts w:ascii="Arial Narrow" w:eastAsia="Times New Roman" w:hAnsi="Arial Narrow" w:cs="Times New Roman"/>
          <w:bCs/>
          <w:sz w:val="22"/>
          <w:szCs w:val="22"/>
          <w:lang w:val="sk-SK"/>
        </w:rPr>
      </w:pPr>
      <w:r w:rsidRPr="004E7394">
        <w:rPr>
          <w:rFonts w:ascii="Arial Narrow" w:eastAsia="Times New Roman" w:hAnsi="Arial Narrow" w:cs="Times New Roman"/>
          <w:bCs/>
          <w:sz w:val="22"/>
          <w:szCs w:val="22"/>
          <w:lang w:val="sk-SK"/>
        </w:rPr>
        <w:t xml:space="preserve">a Vykonávateľ odstúpi z tohto dôvodu od </w:t>
      </w:r>
      <w:r w:rsidRPr="004E7394">
        <w:rPr>
          <w:rFonts w:ascii="Arial Narrow" w:hAnsi="Arial Narrow" w:cs="Times New Roman"/>
          <w:sz w:val="22"/>
          <w:szCs w:val="22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sz w:val="22"/>
          <w:szCs w:val="22"/>
          <w:lang w:val="sk-SK"/>
        </w:rPr>
        <w:t xml:space="preserve">, zaplatí Vykonávateľovi vo forme zmluvnej pokuty sumu tvoriacu 10 % </w:t>
      </w:r>
      <w:r w:rsidRPr="004E7394">
        <w:rPr>
          <w:rFonts w:ascii="Arial Narrow" w:hAnsi="Arial Narrow" w:cs="Times New Roman"/>
          <w:sz w:val="22"/>
          <w:szCs w:val="22"/>
          <w:lang w:val="sk-SK"/>
        </w:rPr>
        <w:t>z celkovej ceny za plnenie v zmysle tejto Zmluvy</w:t>
      </w:r>
      <w:r w:rsidRPr="004E7394">
        <w:rPr>
          <w:rFonts w:ascii="Arial Narrow" w:eastAsia="Times New Roman" w:hAnsi="Arial Narrow" w:cs="Times New Roman"/>
          <w:bCs/>
          <w:sz w:val="22"/>
          <w:szCs w:val="22"/>
          <w:lang w:val="sk-SK"/>
        </w:rPr>
        <w:t>. Tým nie je dotknutá povinnosť náhrady spôsobenej škody podľa odseku 2 tohto článku.</w:t>
      </w:r>
    </w:p>
    <w:p w14:paraId="459C9825" w14:textId="77777777" w:rsidR="004E7394" w:rsidRPr="004E7394" w:rsidRDefault="004E7394" w:rsidP="004E7394">
      <w:pPr>
        <w:rPr>
          <w:lang w:val="sk-SK" w:eastAsia="sk-SK"/>
        </w:rPr>
      </w:pPr>
    </w:p>
    <w:p w14:paraId="78A8D554" w14:textId="77777777" w:rsidR="004E7394" w:rsidRPr="004E7394" w:rsidRDefault="004E7394" w:rsidP="004E7394">
      <w:pPr>
        <w:autoSpaceDE w:val="0"/>
        <w:autoSpaceDN w:val="0"/>
        <w:jc w:val="both"/>
        <w:rPr>
          <w:rFonts w:ascii="Arial Narrow" w:eastAsia="Times New Roman" w:hAnsi="Arial Narrow" w:cs="Times New Roman"/>
          <w:lang w:val="sk-SK" w:eastAsia="sk-SK"/>
        </w:rPr>
      </w:pPr>
    </w:p>
    <w:sectPr w:rsidR="004E7394" w:rsidRPr="004E7394" w:rsidSect="000B7432">
      <w:footerReference w:type="default" r:id="rId12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utor" w:initials="A">
    <w:p w14:paraId="79052EA8" w14:textId="5E1604D5" w:rsidR="00610C1A" w:rsidRDefault="00610C1A">
      <w:pPr>
        <w:pStyle w:val="Textkomentra"/>
      </w:pPr>
      <w:r>
        <w:rPr>
          <w:rStyle w:val="Odkaznakomentr"/>
        </w:rPr>
        <w:annotationRef/>
      </w:r>
      <w:r w:rsidRPr="00411D5F">
        <w:rPr>
          <w:highlight w:val="lightGray"/>
        </w:rPr>
        <w:t>Podľa zvoleného systému financovania</w:t>
      </w:r>
      <w:r>
        <w:t>.</w:t>
      </w:r>
    </w:p>
  </w:comment>
  <w:comment w:id="3" w:author="Autor" w:initials="A">
    <w:p w14:paraId="56DBE9E7" w14:textId="700691CF" w:rsidR="00610C1A" w:rsidRDefault="00610C1A" w:rsidP="00200922">
      <w:pPr>
        <w:pStyle w:val="Textkomentra"/>
      </w:pPr>
      <w:r>
        <w:rPr>
          <w:rStyle w:val="Odkaznakomentr"/>
        </w:rPr>
        <w:annotationRef/>
      </w:r>
      <w:r w:rsidRPr="00092563">
        <w:rPr>
          <w:highlight w:val="lightGray"/>
        </w:rPr>
        <w:t>Napríklad kópia pozvánky na posledné školenie spolu s kópiou prezenčnej listiny účastníkov.</w:t>
      </w:r>
      <w:r>
        <w:t xml:space="preserve"> </w:t>
      </w:r>
    </w:p>
  </w:comment>
  <w:comment w:id="6" w:author="Autor" w:initials="A">
    <w:p w14:paraId="75B0D698" w14:textId="2698B3FA" w:rsidR="00610C1A" w:rsidRDefault="00610C1A" w:rsidP="00160041">
      <w:r>
        <w:rPr>
          <w:rStyle w:val="Odkaznakomentr"/>
        </w:rPr>
        <w:annotationRef/>
      </w:r>
      <w:r w:rsidRPr="00092563">
        <w:rPr>
          <w:highlight w:val="lightGray"/>
          <w:lang w:val="sk-SK"/>
        </w:rPr>
        <w:t>Zahŕňa prípady, ak by bola Pr</w:t>
      </w:r>
      <w:r>
        <w:rPr>
          <w:highlight w:val="lightGray"/>
          <w:lang w:val="sk-SK"/>
        </w:rPr>
        <w:t xml:space="preserve">ijímateľovi poskytnutá pomoc z prostriedkov mechanizmu </w:t>
      </w:r>
      <w:r w:rsidRPr="00092563">
        <w:rPr>
          <w:highlight w:val="lightGray"/>
          <w:lang w:val="sk-SK"/>
        </w:rPr>
        <w:t xml:space="preserve">na výkon </w:t>
      </w:r>
      <w:r w:rsidRPr="00092563">
        <w:rPr>
          <w:highlight w:val="lightGray"/>
        </w:rPr>
        <w:t>nehospodárskych</w:t>
      </w:r>
      <w:r w:rsidRPr="00092563">
        <w:rPr>
          <w:highlight w:val="lightGray"/>
          <w:lang w:val="sk-SK"/>
        </w:rPr>
        <w:t xml:space="preserve"> činností (t.j. </w:t>
      </w:r>
      <w:r w:rsidRPr="00092563">
        <w:rPr>
          <w:highlight w:val="lightGray"/>
        </w:rPr>
        <w:t>nešlo by o štá</w:t>
      </w:r>
      <w:r w:rsidRPr="00092563">
        <w:rPr>
          <w:highlight w:val="lightGray"/>
          <w:lang w:val="sk-SK"/>
        </w:rPr>
        <w:t xml:space="preserve">tnu pomoc), aby bolo </w:t>
      </w:r>
      <w:r w:rsidRPr="00092563">
        <w:rPr>
          <w:highlight w:val="lightGray"/>
        </w:rPr>
        <w:t>možné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preukázať</w:t>
      </w:r>
      <w:r w:rsidRPr="00092563">
        <w:rPr>
          <w:highlight w:val="lightGray"/>
          <w:lang w:val="sk-SK"/>
        </w:rPr>
        <w:t xml:space="preserve">, </w:t>
      </w:r>
      <w:r w:rsidRPr="00092563">
        <w:rPr>
          <w:highlight w:val="lightGray"/>
        </w:rPr>
        <w:t>že</w:t>
      </w:r>
      <w:r w:rsidRPr="00092563">
        <w:rPr>
          <w:highlight w:val="lightGray"/>
          <w:lang w:val="sk-SK"/>
        </w:rPr>
        <w:t xml:space="preserve"> vo </w:t>
      </w:r>
      <w:r w:rsidRPr="00092563">
        <w:rPr>
          <w:highlight w:val="lightGray"/>
        </w:rPr>
        <w:t>vzťahu</w:t>
      </w:r>
      <w:r w:rsidRPr="00092563">
        <w:rPr>
          <w:highlight w:val="lightGray"/>
          <w:lang w:val="sk-SK"/>
        </w:rPr>
        <w:t xml:space="preserve"> k </w:t>
      </w:r>
      <w:r w:rsidRPr="00092563">
        <w:rPr>
          <w:highlight w:val="lightGray"/>
        </w:rPr>
        <w:t>výkonu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hospodárskych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činnosti</w:t>
      </w:r>
      <w:r w:rsidRPr="00092563">
        <w:rPr>
          <w:highlight w:val="lightGray"/>
          <w:lang w:val="sk-SK"/>
        </w:rPr>
        <w:t xml:space="preserve"> nebola </w:t>
      </w:r>
      <w:r w:rsidRPr="00092563">
        <w:rPr>
          <w:highlight w:val="lightGray"/>
        </w:rPr>
        <w:t>poskytnutá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výhoda</w:t>
      </w:r>
      <w:r w:rsidRPr="00092563">
        <w:rPr>
          <w:highlight w:val="lightGray"/>
          <w:lang w:val="sk-SK"/>
        </w:rPr>
        <w:t xml:space="preserve"> a tak </w:t>
      </w:r>
      <w:r w:rsidRPr="00092563">
        <w:rPr>
          <w:highlight w:val="lightGray"/>
        </w:rPr>
        <w:t>nedošlo</w:t>
      </w:r>
      <w:r w:rsidRPr="00092563">
        <w:rPr>
          <w:highlight w:val="lightGray"/>
          <w:lang w:val="sk-SK"/>
        </w:rPr>
        <w:t xml:space="preserve"> k poskytnutiu štátnej pomoci, resp. k </w:t>
      </w:r>
      <w:r w:rsidRPr="00092563">
        <w:rPr>
          <w:highlight w:val="lightGray"/>
        </w:rPr>
        <w:t>porušeniu</w:t>
      </w:r>
      <w:r w:rsidRPr="00092563">
        <w:rPr>
          <w:highlight w:val="lightGray"/>
          <w:lang w:val="sk-SK"/>
        </w:rPr>
        <w:t xml:space="preserve"> pravidiel </w:t>
      </w:r>
      <w:r w:rsidRPr="00092563">
        <w:rPr>
          <w:highlight w:val="lightGray"/>
        </w:rPr>
        <w:t>upravujúcich</w:t>
      </w:r>
      <w:r w:rsidRPr="00092563">
        <w:rPr>
          <w:highlight w:val="lightGray"/>
          <w:lang w:val="sk-SK"/>
        </w:rPr>
        <w:t xml:space="preserve"> poskytovanie štátnej pomoci</w:t>
      </w:r>
      <w:r>
        <w:rPr>
          <w:lang w:val="sk-SK"/>
        </w:rPr>
        <w:t>.</w:t>
      </w:r>
    </w:p>
    <w:p w14:paraId="1C258619" w14:textId="77777777" w:rsidR="00610C1A" w:rsidRPr="001B3E2E" w:rsidRDefault="00610C1A" w:rsidP="00CE2264">
      <w:pPr>
        <w:pStyle w:val="Textkomentra"/>
        <w:rPr>
          <w:lang w:val="sk-SK"/>
        </w:rPr>
      </w:pPr>
    </w:p>
  </w:comment>
  <w:comment w:id="10" w:author="Autor" w:initials="A">
    <w:p w14:paraId="45A97516" w14:textId="7C159272" w:rsidR="00610C1A" w:rsidRDefault="00610C1A">
      <w:pPr>
        <w:pStyle w:val="Textkomentra"/>
      </w:pPr>
      <w:r>
        <w:rPr>
          <w:rStyle w:val="Odkaznakomentr"/>
        </w:rPr>
        <w:annotationRef/>
      </w:r>
      <w:r w:rsidRPr="00092563">
        <w:rPr>
          <w:highlight w:val="lightGray"/>
        </w:rPr>
        <w:t>V článku 4 Zmluvy o poskytnutí prostriedkov mechanizmu sa s ohľadom na konkrétny projekt určí, aký typ monit</w:t>
      </w:r>
      <w:r>
        <w:rPr>
          <w:highlight w:val="lightGray"/>
        </w:rPr>
        <w:t>o</w:t>
      </w:r>
      <w:r w:rsidRPr="00092563">
        <w:rPr>
          <w:highlight w:val="lightGray"/>
        </w:rPr>
        <w:t>rovacej správy je povinný Prijímateľ predkladať a v akej periodicite. V zmysle tam upravenej povinnosti sa na projekt bude vzť</w:t>
      </w:r>
      <w:r>
        <w:rPr>
          <w:highlight w:val="lightGray"/>
        </w:rPr>
        <w:t>ahovať iba relevantná časť</w:t>
      </w:r>
      <w:r w:rsidRPr="00092563">
        <w:rPr>
          <w:highlight w:val="lightGray"/>
        </w:rPr>
        <w:t xml:space="preserve"> čl. 5 VZP.</w:t>
      </w:r>
    </w:p>
  </w:comment>
  <w:comment w:id="20" w:author="Autor" w:initials="A">
    <w:p w14:paraId="7204D848" w14:textId="7B5075F8" w:rsidR="00610C1A" w:rsidRPr="00F34A6F" w:rsidRDefault="00610C1A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927498">
        <w:rPr>
          <w:highlight w:val="lightGray"/>
        </w:rPr>
        <w:t>Vykonávateľ doplní výšku vyjadrenú absolútnym číslom podľa vlastnej úvahy. Primárnym ú</w:t>
      </w:r>
      <w:r>
        <w:rPr>
          <w:highlight w:val="lightGray"/>
        </w:rPr>
        <w:t>čelom zmluvnej pokuty je primä</w:t>
      </w:r>
      <w:r w:rsidRPr="00927498">
        <w:rPr>
          <w:highlight w:val="lightGray"/>
        </w:rPr>
        <w:t xml:space="preserve">ť Prijímateľa, aby povinnosť splnil, nemá charakter náhrady škody, pretože prvoradou úlohou </w:t>
      </w:r>
      <w:r>
        <w:rPr>
          <w:highlight w:val="lightGray"/>
        </w:rPr>
        <w:t>V</w:t>
      </w:r>
      <w:r w:rsidRPr="00927498">
        <w:rPr>
          <w:highlight w:val="lightGray"/>
        </w:rPr>
        <w:t xml:space="preserve">ykonávateľa je zabezpečiť, aby sa projekt riadne zrealizoval. Je potrebné vyhnúť sa likvidačnému charakteru zmluvnej pokuty a tiež vziať do úvahy, že vyčíslenú zmluvnú pokutu bude potrebné od Prijímateľa vymôcť. Odporúča sa preto používať rôzne sumy v nadväznosti </w:t>
      </w:r>
      <w:r>
        <w:rPr>
          <w:highlight w:val="lightGray"/>
        </w:rPr>
        <w:t>na poskytovanú sumu Prostriedkov mechanizmu</w:t>
      </w:r>
      <w:r w:rsidRPr="00F34A6F">
        <w:rPr>
          <w:highlight w:val="lightGray"/>
        </w:rPr>
        <w:t>.</w:t>
      </w:r>
    </w:p>
  </w:comment>
  <w:comment w:id="22" w:author="Autor" w:initials="A">
    <w:p w14:paraId="2092DEC5" w14:textId="562857C0" w:rsidR="00610C1A" w:rsidRPr="00E85183" w:rsidRDefault="00610C1A" w:rsidP="00E85183">
      <w:pPr>
        <w:pStyle w:val="Textkomentra"/>
        <w:rPr>
          <w:rFonts w:cstheme="minorHAnsi"/>
        </w:rPr>
      </w:pPr>
      <w:r>
        <w:rPr>
          <w:rStyle w:val="Odkaznakomentr"/>
        </w:rPr>
        <w:annotationRef/>
      </w:r>
      <w:r w:rsidRPr="00092563">
        <w:rPr>
          <w:rFonts w:cstheme="minorHAnsi"/>
          <w:sz w:val="22"/>
          <w:szCs w:val="22"/>
          <w:highlight w:val="lightGray"/>
          <w:lang w:val="sk-SK"/>
        </w:rPr>
        <w:t xml:space="preserve">Ak Vykonávateľ v súlade s vykonanou kontrolou/auditom (aj opakovaným) podľa tohto odseku </w:t>
      </w:r>
      <w:r w:rsidRPr="00092563">
        <w:rPr>
          <w:rFonts w:eastAsia="Times New Roman" w:cstheme="minorHAnsi"/>
          <w:sz w:val="22"/>
          <w:szCs w:val="22"/>
          <w:highlight w:val="lightGray"/>
          <w:lang w:val="sk-SK" w:eastAsia="sk-SK"/>
        </w:rPr>
        <w:t>požaduje vrátenie Prostriedkov mechanizmu podľa článku 14 VZP, takáto kontrola/audit musí byť vykonaná(ý) na úrovni Prijímateľa tak, aby mal Prijímateľ možnosť podať námietky</w:t>
      </w:r>
      <w:r w:rsidRPr="00092563">
        <w:rPr>
          <w:rStyle w:val="Odkaznakomentr"/>
          <w:rFonts w:cstheme="minorHAnsi"/>
          <w:highlight w:val="lightGray"/>
        </w:rPr>
        <w:annotationRef/>
      </w:r>
      <w:r w:rsidRPr="00092563">
        <w:rPr>
          <w:rFonts w:eastAsia="Times New Roman" w:cstheme="minorHAnsi"/>
          <w:sz w:val="22"/>
          <w:szCs w:val="22"/>
          <w:highlight w:val="lightGray"/>
          <w:lang w:val="sk-SK" w:eastAsia="sk-SK"/>
        </w:rPr>
        <w:t>.</w:t>
      </w:r>
    </w:p>
  </w:comment>
  <w:comment w:id="24" w:author="Autor" w:initials="A">
    <w:p w14:paraId="07174C5E" w14:textId="11302B67" w:rsidR="00610C1A" w:rsidRDefault="00610C1A">
      <w:pPr>
        <w:pStyle w:val="Textkomentra"/>
      </w:pPr>
      <w:r>
        <w:rPr>
          <w:rStyle w:val="Odkaznakomentr"/>
        </w:rPr>
        <w:annotationRef/>
      </w:r>
      <w:r w:rsidRPr="00C90B40">
        <w:rPr>
          <w:highlight w:val="lightGray"/>
        </w:rPr>
        <w:t xml:space="preserve">Vykonávateľ </w:t>
      </w:r>
      <w:r>
        <w:rPr>
          <w:highlight w:val="lightGray"/>
        </w:rPr>
        <w:t>s</w:t>
      </w:r>
      <w:r w:rsidRPr="00C90B40">
        <w:rPr>
          <w:highlight w:val="lightGray"/>
        </w:rPr>
        <w:t>tanoví s ohľadom na charakter Projektu</w:t>
      </w:r>
      <w:r>
        <w:rPr>
          <w:highlight w:val="lightGray"/>
        </w:rPr>
        <w:t>/</w:t>
      </w:r>
      <w:r w:rsidRPr="00C90B40">
        <w:rPr>
          <w:highlight w:val="lightGray"/>
        </w:rPr>
        <w:t>výšku poskytovaných Prostriedkov mechanizmu</w:t>
      </w:r>
      <w:r>
        <w:t>.</w:t>
      </w:r>
    </w:p>
  </w:comment>
  <w:comment w:id="25" w:author="Autor" w:initials="A">
    <w:p w14:paraId="23D95691" w14:textId="7B4EBFC4" w:rsidR="00610C1A" w:rsidRDefault="00610C1A">
      <w:pPr>
        <w:pStyle w:val="Textkomentra"/>
      </w:pPr>
      <w:r w:rsidRPr="003A30A6">
        <w:rPr>
          <w:rStyle w:val="Odkaznakomentr"/>
          <w:highlight w:val="lightGray"/>
        </w:rPr>
        <w:annotationRef/>
      </w:r>
      <w:r w:rsidRPr="003A30A6">
        <w:rPr>
          <w:highlight w:val="lightGray"/>
        </w:rPr>
        <w:t>Určí Vykonávateľ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052EA8" w15:done="0"/>
  <w15:commentEx w15:paraId="56DBE9E7" w15:done="0"/>
  <w15:commentEx w15:paraId="1C258619" w15:done="0"/>
  <w15:commentEx w15:paraId="45A97516" w15:done="0"/>
  <w15:commentEx w15:paraId="7204D848" w15:done="0"/>
  <w15:commentEx w15:paraId="2092DEC5" w15:done="0"/>
  <w15:commentEx w15:paraId="07174C5E" w15:done="0"/>
  <w15:commentEx w15:paraId="23D956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052EA8" w16cid:durableId="25ACEE70"/>
  <w16cid:commentId w16cid:paraId="56DBE9E7" w16cid:durableId="25ACEE71"/>
  <w16cid:commentId w16cid:paraId="1C258619" w16cid:durableId="25ACEE75"/>
  <w16cid:commentId w16cid:paraId="45A97516" w16cid:durableId="2843DEE5"/>
  <w16cid:commentId w16cid:paraId="7204D848" w16cid:durableId="25ACEE86"/>
  <w16cid:commentId w16cid:paraId="2092DEC5" w16cid:durableId="25B9424B"/>
  <w16cid:commentId w16cid:paraId="07174C5E" w16cid:durableId="25ACEE8A"/>
  <w16cid:commentId w16cid:paraId="23D95691" w16cid:durableId="25ACEE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F73E" w14:textId="77777777" w:rsidR="00F57F62" w:rsidRDefault="00F57F62" w:rsidP="007F765E">
      <w:r>
        <w:separator/>
      </w:r>
    </w:p>
  </w:endnote>
  <w:endnote w:type="continuationSeparator" w:id="0">
    <w:p w14:paraId="160DF007" w14:textId="77777777" w:rsidR="00F57F62" w:rsidRDefault="00F57F62" w:rsidP="007F765E">
      <w:r>
        <w:continuationSeparator/>
      </w:r>
    </w:p>
  </w:endnote>
  <w:endnote w:type="continuationNotice" w:id="1">
    <w:p w14:paraId="24C4C075" w14:textId="77777777" w:rsidR="00F57F62" w:rsidRDefault="00F57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34722378" w:rsidR="00610C1A" w:rsidRPr="007F765E" w:rsidRDefault="00610C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6916CB" w:rsidRPr="006916CB">
          <w:rPr>
            <w:rFonts w:ascii="Arial Narrow" w:hAnsi="Arial Narrow"/>
            <w:noProof/>
            <w:sz w:val="22"/>
            <w:lang w:val="sk-SK"/>
          </w:rPr>
          <w:t>2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610C1A" w:rsidRDefault="00610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3388" w14:textId="77777777" w:rsidR="00F57F62" w:rsidRDefault="00F57F62" w:rsidP="007F765E">
      <w:r>
        <w:separator/>
      </w:r>
    </w:p>
  </w:footnote>
  <w:footnote w:type="continuationSeparator" w:id="0">
    <w:p w14:paraId="25E3F680" w14:textId="77777777" w:rsidR="00F57F62" w:rsidRDefault="00F57F62" w:rsidP="007F765E">
      <w:r>
        <w:continuationSeparator/>
      </w:r>
    </w:p>
  </w:footnote>
  <w:footnote w:type="continuationNotice" w:id="1">
    <w:p w14:paraId="486DE3FE" w14:textId="77777777" w:rsidR="00F57F62" w:rsidRDefault="00F57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82B1399"/>
    <w:multiLevelType w:val="hybridMultilevel"/>
    <w:tmpl w:val="D9EA8B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8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0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4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9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5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13174">
    <w:abstractNumId w:val="5"/>
  </w:num>
  <w:num w:numId="2" w16cid:durableId="589699061">
    <w:abstractNumId w:val="45"/>
  </w:num>
  <w:num w:numId="3" w16cid:durableId="1316647044">
    <w:abstractNumId w:val="22"/>
  </w:num>
  <w:num w:numId="4" w16cid:durableId="721248853">
    <w:abstractNumId w:val="37"/>
  </w:num>
  <w:num w:numId="5" w16cid:durableId="2072072098">
    <w:abstractNumId w:val="25"/>
  </w:num>
  <w:num w:numId="6" w16cid:durableId="2045785287">
    <w:abstractNumId w:val="28"/>
  </w:num>
  <w:num w:numId="7" w16cid:durableId="1392194467">
    <w:abstractNumId w:val="13"/>
  </w:num>
  <w:num w:numId="8" w16cid:durableId="1634940721">
    <w:abstractNumId w:val="9"/>
  </w:num>
  <w:num w:numId="9" w16cid:durableId="1458790300">
    <w:abstractNumId w:val="17"/>
  </w:num>
  <w:num w:numId="10" w16cid:durableId="768698905">
    <w:abstractNumId w:val="11"/>
  </w:num>
  <w:num w:numId="11" w16cid:durableId="1695957383">
    <w:abstractNumId w:val="15"/>
  </w:num>
  <w:num w:numId="12" w16cid:durableId="910041655">
    <w:abstractNumId w:val="23"/>
  </w:num>
  <w:num w:numId="13" w16cid:durableId="1168328673">
    <w:abstractNumId w:val="0"/>
  </w:num>
  <w:num w:numId="14" w16cid:durableId="107705838">
    <w:abstractNumId w:val="39"/>
  </w:num>
  <w:num w:numId="15" w16cid:durableId="862128421">
    <w:abstractNumId w:val="44"/>
  </w:num>
  <w:num w:numId="16" w16cid:durableId="1613510621">
    <w:abstractNumId w:val="27"/>
  </w:num>
  <w:num w:numId="17" w16cid:durableId="1531256870">
    <w:abstractNumId w:val="29"/>
  </w:num>
  <w:num w:numId="18" w16cid:durableId="650718798">
    <w:abstractNumId w:val="21"/>
  </w:num>
  <w:num w:numId="19" w16cid:durableId="639187630">
    <w:abstractNumId w:val="35"/>
  </w:num>
  <w:num w:numId="20" w16cid:durableId="1773282399">
    <w:abstractNumId w:val="30"/>
  </w:num>
  <w:num w:numId="21" w16cid:durableId="1281104566">
    <w:abstractNumId w:val="4"/>
  </w:num>
  <w:num w:numId="22" w16cid:durableId="601304153">
    <w:abstractNumId w:val="14"/>
  </w:num>
  <w:num w:numId="23" w16cid:durableId="1904287679">
    <w:abstractNumId w:val="3"/>
  </w:num>
  <w:num w:numId="24" w16cid:durableId="267086810">
    <w:abstractNumId w:val="32"/>
  </w:num>
  <w:num w:numId="25" w16cid:durableId="569464158">
    <w:abstractNumId w:val="10"/>
  </w:num>
  <w:num w:numId="26" w16cid:durableId="1939026477">
    <w:abstractNumId w:val="24"/>
  </w:num>
  <w:num w:numId="27" w16cid:durableId="1904952507">
    <w:abstractNumId w:val="26"/>
  </w:num>
  <w:num w:numId="28" w16cid:durableId="1867716741">
    <w:abstractNumId w:val="41"/>
  </w:num>
  <w:num w:numId="29" w16cid:durableId="75443938">
    <w:abstractNumId w:val="36"/>
  </w:num>
  <w:num w:numId="30" w16cid:durableId="1869416416">
    <w:abstractNumId w:val="40"/>
  </w:num>
  <w:num w:numId="31" w16cid:durableId="144515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4098887">
    <w:abstractNumId w:val="34"/>
  </w:num>
  <w:num w:numId="33" w16cid:durableId="1069033272">
    <w:abstractNumId w:val="1"/>
  </w:num>
  <w:num w:numId="34" w16cid:durableId="1655598438">
    <w:abstractNumId w:val="12"/>
  </w:num>
  <w:num w:numId="35" w16cid:durableId="977340751">
    <w:abstractNumId w:val="33"/>
  </w:num>
  <w:num w:numId="36" w16cid:durableId="1778136428">
    <w:abstractNumId w:val="19"/>
  </w:num>
  <w:num w:numId="37" w16cid:durableId="62876967">
    <w:abstractNumId w:val="38"/>
  </w:num>
  <w:num w:numId="38" w16cid:durableId="1980646401">
    <w:abstractNumId w:val="18"/>
  </w:num>
  <w:num w:numId="39" w16cid:durableId="1221594855">
    <w:abstractNumId w:val="6"/>
  </w:num>
  <w:num w:numId="40" w16cid:durableId="1369798201">
    <w:abstractNumId w:val="31"/>
  </w:num>
  <w:num w:numId="41" w16cid:durableId="2146309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84534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0996012">
    <w:abstractNumId w:val="42"/>
  </w:num>
  <w:num w:numId="44" w16cid:durableId="1044790958">
    <w:abstractNumId w:val="8"/>
  </w:num>
  <w:num w:numId="45" w16cid:durableId="20654465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16273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8126001">
    <w:abstractNumId w:val="8"/>
  </w:num>
  <w:num w:numId="48" w16cid:durableId="369300678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89F"/>
    <w:rsid w:val="000101A5"/>
    <w:rsid w:val="00010B0C"/>
    <w:rsid w:val="00010F3E"/>
    <w:rsid w:val="00013622"/>
    <w:rsid w:val="0001370B"/>
    <w:rsid w:val="00015602"/>
    <w:rsid w:val="00015B2A"/>
    <w:rsid w:val="00016341"/>
    <w:rsid w:val="00016822"/>
    <w:rsid w:val="0001780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39F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B51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74A1"/>
    <w:rsid w:val="001D7BBC"/>
    <w:rsid w:val="001E0D5E"/>
    <w:rsid w:val="001E60C3"/>
    <w:rsid w:val="001E61BB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D13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760BA"/>
    <w:rsid w:val="00280386"/>
    <w:rsid w:val="00280B4A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1D1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7AD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551"/>
    <w:rsid w:val="002D634A"/>
    <w:rsid w:val="002D6E3B"/>
    <w:rsid w:val="002E0DB2"/>
    <w:rsid w:val="002E0E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5BBE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0B94"/>
    <w:rsid w:val="0039256F"/>
    <w:rsid w:val="00393A72"/>
    <w:rsid w:val="00393AC9"/>
    <w:rsid w:val="003A071C"/>
    <w:rsid w:val="003A1C8E"/>
    <w:rsid w:val="003A1F46"/>
    <w:rsid w:val="003A30A6"/>
    <w:rsid w:val="003A3D5D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CD1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639"/>
    <w:rsid w:val="00443E3B"/>
    <w:rsid w:val="0044517A"/>
    <w:rsid w:val="004451F2"/>
    <w:rsid w:val="004469D0"/>
    <w:rsid w:val="00447E83"/>
    <w:rsid w:val="00447ED0"/>
    <w:rsid w:val="004502B5"/>
    <w:rsid w:val="004535FF"/>
    <w:rsid w:val="0045361C"/>
    <w:rsid w:val="00454835"/>
    <w:rsid w:val="00455846"/>
    <w:rsid w:val="00456737"/>
    <w:rsid w:val="004572F2"/>
    <w:rsid w:val="00457B37"/>
    <w:rsid w:val="00460B3F"/>
    <w:rsid w:val="00461BE1"/>
    <w:rsid w:val="004621EB"/>
    <w:rsid w:val="0046238C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3B3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68F6"/>
    <w:rsid w:val="004E70CB"/>
    <w:rsid w:val="004E7394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184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60A7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2AD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C1A"/>
    <w:rsid w:val="00610D06"/>
    <w:rsid w:val="0061133B"/>
    <w:rsid w:val="0061306E"/>
    <w:rsid w:val="00613B7A"/>
    <w:rsid w:val="00614BBD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7D1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77726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16CB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F8E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2B76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019D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77218"/>
    <w:rsid w:val="0078027B"/>
    <w:rsid w:val="0078146D"/>
    <w:rsid w:val="00782E04"/>
    <w:rsid w:val="00783F22"/>
    <w:rsid w:val="00784A23"/>
    <w:rsid w:val="0078600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B7A54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7B2"/>
    <w:rsid w:val="00924994"/>
    <w:rsid w:val="00924F89"/>
    <w:rsid w:val="009253DD"/>
    <w:rsid w:val="00925637"/>
    <w:rsid w:val="00925AB7"/>
    <w:rsid w:val="00927498"/>
    <w:rsid w:val="0093063C"/>
    <w:rsid w:val="00932B5E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DDD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115B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46E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05D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2A3"/>
    <w:rsid w:val="00A55BBA"/>
    <w:rsid w:val="00A56642"/>
    <w:rsid w:val="00A5712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0A7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3BE6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97A"/>
    <w:rsid w:val="00AE4BD5"/>
    <w:rsid w:val="00AE4DDC"/>
    <w:rsid w:val="00AE512F"/>
    <w:rsid w:val="00AE60E0"/>
    <w:rsid w:val="00AE66C7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6EB2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2496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283"/>
    <w:rsid w:val="00C023B0"/>
    <w:rsid w:val="00C029B8"/>
    <w:rsid w:val="00C034D1"/>
    <w:rsid w:val="00C04DDB"/>
    <w:rsid w:val="00C05D98"/>
    <w:rsid w:val="00C05E85"/>
    <w:rsid w:val="00C060F2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4F17"/>
    <w:rsid w:val="00CC61BF"/>
    <w:rsid w:val="00CC6FD7"/>
    <w:rsid w:val="00CC7C03"/>
    <w:rsid w:val="00CD0D5F"/>
    <w:rsid w:val="00CD3A0E"/>
    <w:rsid w:val="00CD3D2D"/>
    <w:rsid w:val="00CD4E42"/>
    <w:rsid w:val="00CD7161"/>
    <w:rsid w:val="00CD7194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2EE3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E76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2DA8"/>
    <w:rsid w:val="00DB40AE"/>
    <w:rsid w:val="00DB47B7"/>
    <w:rsid w:val="00DB4829"/>
    <w:rsid w:val="00DB4B97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6878"/>
    <w:rsid w:val="00DC710C"/>
    <w:rsid w:val="00DC7ABE"/>
    <w:rsid w:val="00DD00B8"/>
    <w:rsid w:val="00DD0DF3"/>
    <w:rsid w:val="00DD18FC"/>
    <w:rsid w:val="00DD1D26"/>
    <w:rsid w:val="00DD2D7C"/>
    <w:rsid w:val="00DD2E79"/>
    <w:rsid w:val="00DD35A5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467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256D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674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4C36"/>
    <w:rsid w:val="00F3566C"/>
    <w:rsid w:val="00F4074B"/>
    <w:rsid w:val="00F40789"/>
    <w:rsid w:val="00F40971"/>
    <w:rsid w:val="00F42F73"/>
    <w:rsid w:val="00F437C9"/>
    <w:rsid w:val="00F46448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57F62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6E676F2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70EA7-6B14-41F9-B42D-9A9004A5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19830</Words>
  <Characters>113033</Characters>
  <Application>Microsoft Office Word</Application>
  <DocSecurity>0</DocSecurity>
  <Lines>941</Lines>
  <Paragraphs>265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2024-06-19T09:20:00Z</dcterms:created>
  <dcterms:modified xsi:type="dcterms:W3CDTF">2024-06-19T09:20:00Z</dcterms:modified>
</cp:coreProperties>
</file>