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FDE11" w14:textId="77777777" w:rsidR="006639BF" w:rsidRPr="00900AF8"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Príloha č. 1 Zmluvy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192C89C"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6E899BA3" w:rsidR="00AB31F5" w:rsidRPr="00AB31F5" w:rsidRDefault="00420958">
          <w:pPr>
            <w:pStyle w:val="Obsah2"/>
            <w:rPr>
              <w:rFonts w:ascii="Arial Narrow" w:hAnsi="Arial Narrow"/>
              <w:noProof/>
              <w:sz w:val="24"/>
              <w:szCs w:val="24"/>
              <w:lang w:val="sk-SK" w:eastAsia="sk-SK"/>
            </w:rPr>
          </w:pPr>
          <w:hyperlink w:anchor="_Toc137639144" w:history="1">
            <w:r w:rsidR="00AB31F5" w:rsidRPr="00AB31F5">
              <w:rPr>
                <w:rStyle w:val="Hypertextovprepojenie"/>
                <w:rFonts w:ascii="Arial Narrow" w:hAnsi="Arial Narrow"/>
                <w:noProof/>
                <w:sz w:val="24"/>
                <w:szCs w:val="24"/>
              </w:rPr>
              <w:t>Článok 2. VŠEOBECNÉ POVINNOSTI ZMLUVNÝCH STRÁN</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7</w:t>
            </w:r>
            <w:r w:rsidR="00AB31F5" w:rsidRPr="00AB31F5">
              <w:rPr>
                <w:rFonts w:ascii="Arial Narrow" w:hAnsi="Arial Narrow"/>
                <w:noProof/>
                <w:webHidden/>
                <w:sz w:val="24"/>
                <w:szCs w:val="24"/>
              </w:rPr>
              <w:fldChar w:fldCharType="end"/>
            </w:r>
          </w:hyperlink>
        </w:p>
        <w:p w14:paraId="23487881" w14:textId="02841151" w:rsidR="00AB31F5" w:rsidRPr="00AB31F5" w:rsidRDefault="00420958">
          <w:pPr>
            <w:pStyle w:val="Obsah2"/>
            <w:rPr>
              <w:rFonts w:ascii="Arial Narrow" w:hAnsi="Arial Narrow"/>
              <w:noProof/>
              <w:sz w:val="24"/>
              <w:szCs w:val="24"/>
              <w:lang w:val="sk-SK" w:eastAsia="sk-SK"/>
            </w:rPr>
          </w:pPr>
          <w:hyperlink w:anchor="_Toc137639145" w:history="1">
            <w:r w:rsidR="00AB31F5" w:rsidRPr="00AB31F5">
              <w:rPr>
                <w:rStyle w:val="Hypertextovprepojenie"/>
                <w:rFonts w:ascii="Arial Narrow" w:hAnsi="Arial Narrow"/>
                <w:noProof/>
                <w:sz w:val="24"/>
                <w:szCs w:val="24"/>
              </w:rPr>
              <w:t>Článok 3. VEREJNÉ OBSTARÁVANIE SLUŽIEB, TOVAROV A PRÁC PRIJÍMATEĽOM</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9</w:t>
            </w:r>
            <w:r w:rsidR="00AB31F5" w:rsidRPr="00AB31F5">
              <w:rPr>
                <w:rFonts w:ascii="Arial Narrow" w:hAnsi="Arial Narrow"/>
                <w:noProof/>
                <w:webHidden/>
                <w:sz w:val="24"/>
                <w:szCs w:val="24"/>
              </w:rPr>
              <w:fldChar w:fldCharType="end"/>
            </w:r>
          </w:hyperlink>
        </w:p>
        <w:p w14:paraId="2E43BB77" w14:textId="1A8F7E0A" w:rsidR="00AB31F5" w:rsidRPr="00AB31F5" w:rsidRDefault="00420958">
          <w:pPr>
            <w:pStyle w:val="Obsah2"/>
            <w:rPr>
              <w:rFonts w:ascii="Arial Narrow" w:hAnsi="Arial Narrow"/>
              <w:noProof/>
              <w:sz w:val="24"/>
              <w:szCs w:val="24"/>
              <w:lang w:val="sk-SK" w:eastAsia="sk-SK"/>
            </w:rPr>
          </w:pPr>
          <w:hyperlink w:anchor="_Toc137639146" w:history="1">
            <w:r w:rsidR="00AB31F5" w:rsidRPr="00AB31F5">
              <w:rPr>
                <w:rStyle w:val="Hypertextovprepojenie"/>
                <w:rFonts w:ascii="Arial Narrow" w:hAnsi="Arial Narrow"/>
                <w:noProof/>
                <w:sz w:val="24"/>
                <w:szCs w:val="24"/>
              </w:rPr>
              <w:t>Článok 4. OPRÁVNENÉ VÝDAVKY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777B8C75" w14:textId="1CE717F6" w:rsidR="00AB31F5" w:rsidRPr="00AB31F5" w:rsidRDefault="00420958">
          <w:pPr>
            <w:pStyle w:val="Obsah2"/>
            <w:rPr>
              <w:rFonts w:ascii="Arial Narrow" w:hAnsi="Arial Narrow"/>
              <w:noProof/>
              <w:sz w:val="24"/>
              <w:szCs w:val="24"/>
              <w:lang w:val="sk-SK" w:eastAsia="sk-SK"/>
            </w:rPr>
          </w:pPr>
          <w:hyperlink w:anchor="_Toc137639147" w:history="1">
            <w:r w:rsidR="00AB31F5" w:rsidRPr="00AB31F5">
              <w:rPr>
                <w:rStyle w:val="Hypertextovprepojenie"/>
                <w:rFonts w:ascii="Arial Narrow" w:hAnsi="Arial Narrow"/>
                <w:noProof/>
                <w:sz w:val="24"/>
                <w:szCs w:val="24"/>
              </w:rPr>
              <w:t>Článok 5. MONITOROVANIE PROJEKTU A POSKYTOVANIE INFORMÁCIÍ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59C8689A" w14:textId="4D28B4E6" w:rsidR="00AB31F5" w:rsidRPr="00AB31F5" w:rsidRDefault="00420958">
          <w:pPr>
            <w:pStyle w:val="Obsah2"/>
            <w:rPr>
              <w:rFonts w:ascii="Arial Narrow" w:hAnsi="Arial Narrow"/>
              <w:noProof/>
              <w:sz w:val="24"/>
              <w:szCs w:val="24"/>
              <w:lang w:val="sk-SK" w:eastAsia="sk-SK"/>
            </w:rPr>
          </w:pPr>
          <w:hyperlink w:anchor="_Toc137639148" w:history="1">
            <w:r w:rsidR="00AB31F5" w:rsidRPr="00AB31F5">
              <w:rPr>
                <w:rStyle w:val="Hypertextovprepojenie"/>
                <w:rFonts w:ascii="Arial Narrow" w:hAnsi="Arial Narrow"/>
                <w:noProof/>
                <w:sz w:val="24"/>
                <w:szCs w:val="24"/>
              </w:rPr>
              <w:t>Článok 6. INFORMOVANOSŤ, KOMUNIKÁCIA A VIDITEĽNOSŤ</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12</w:t>
            </w:r>
            <w:r w:rsidR="00AB31F5" w:rsidRPr="00AB31F5">
              <w:rPr>
                <w:rFonts w:ascii="Arial Narrow" w:hAnsi="Arial Narrow"/>
                <w:noProof/>
                <w:webHidden/>
                <w:sz w:val="24"/>
                <w:szCs w:val="24"/>
              </w:rPr>
              <w:fldChar w:fldCharType="end"/>
            </w:r>
          </w:hyperlink>
        </w:p>
        <w:p w14:paraId="7861BEC6" w14:textId="7CC06E3C" w:rsidR="00AB31F5" w:rsidRPr="00AB31F5" w:rsidRDefault="00420958">
          <w:pPr>
            <w:pStyle w:val="Obsah2"/>
            <w:rPr>
              <w:rFonts w:ascii="Arial Narrow" w:hAnsi="Arial Narrow"/>
              <w:noProof/>
              <w:sz w:val="24"/>
              <w:szCs w:val="24"/>
              <w:lang w:val="sk-SK" w:eastAsia="sk-SK"/>
            </w:rPr>
          </w:pPr>
          <w:hyperlink w:anchor="_Toc137639149" w:history="1">
            <w:r w:rsidR="00AB31F5" w:rsidRPr="00AB31F5">
              <w:rPr>
                <w:rStyle w:val="Hypertextovprepojenie"/>
                <w:rFonts w:ascii="Arial Narrow" w:hAnsi="Arial Narrow"/>
                <w:noProof/>
                <w:sz w:val="24"/>
                <w:szCs w:val="24"/>
              </w:rPr>
              <w:t>Článok 7. VLASTNÍCTVO A POUŽITIE VÝSTUPOV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13</w:t>
            </w:r>
            <w:r w:rsidR="00AB31F5" w:rsidRPr="00AB31F5">
              <w:rPr>
                <w:rFonts w:ascii="Arial Narrow" w:hAnsi="Arial Narrow"/>
                <w:noProof/>
                <w:webHidden/>
                <w:sz w:val="24"/>
                <w:szCs w:val="24"/>
              </w:rPr>
              <w:fldChar w:fldCharType="end"/>
            </w:r>
          </w:hyperlink>
        </w:p>
        <w:p w14:paraId="58E0A22C" w14:textId="7B7AC1F9" w:rsidR="00AB31F5" w:rsidRPr="00AB31F5" w:rsidRDefault="00420958">
          <w:pPr>
            <w:pStyle w:val="Obsah2"/>
            <w:rPr>
              <w:rFonts w:ascii="Arial Narrow" w:hAnsi="Arial Narrow"/>
              <w:noProof/>
              <w:sz w:val="24"/>
              <w:szCs w:val="24"/>
              <w:lang w:val="sk-SK" w:eastAsia="sk-SK"/>
            </w:rPr>
          </w:pPr>
          <w:hyperlink w:anchor="_Toc137639150" w:history="1">
            <w:r w:rsidR="00AB31F5" w:rsidRPr="00AB31F5">
              <w:rPr>
                <w:rStyle w:val="Hypertextovprepojenie"/>
                <w:rFonts w:ascii="Arial Narrow" w:hAnsi="Arial Narrow"/>
                <w:noProof/>
                <w:sz w:val="24"/>
                <w:szCs w:val="24"/>
              </w:rPr>
              <w:t>Článok 8. PREVOD A </w:t>
            </w:r>
            <w:bookmarkStart w:id="0" w:name="_GoBack"/>
            <w:bookmarkEnd w:id="0"/>
            <w:r w:rsidR="00AB31F5" w:rsidRPr="00AB31F5">
              <w:rPr>
                <w:rStyle w:val="Hypertextovprepojenie"/>
                <w:rFonts w:ascii="Arial Narrow" w:hAnsi="Arial Narrow"/>
                <w:noProof/>
                <w:sz w:val="24"/>
                <w:szCs w:val="24"/>
              </w:rPr>
              <w:t>PRECHOD PRÁV A POVINNOSTÍ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15</w:t>
            </w:r>
            <w:r w:rsidR="00AB31F5" w:rsidRPr="00AB31F5">
              <w:rPr>
                <w:rFonts w:ascii="Arial Narrow" w:hAnsi="Arial Narrow"/>
                <w:noProof/>
                <w:webHidden/>
                <w:sz w:val="24"/>
                <w:szCs w:val="24"/>
              </w:rPr>
              <w:fldChar w:fldCharType="end"/>
            </w:r>
          </w:hyperlink>
        </w:p>
        <w:p w14:paraId="3CBA4FB8" w14:textId="4DBACC25" w:rsidR="00AB31F5" w:rsidRPr="00AB31F5" w:rsidRDefault="00420958">
          <w:pPr>
            <w:pStyle w:val="Obsah2"/>
            <w:rPr>
              <w:rFonts w:ascii="Arial Narrow" w:hAnsi="Arial Narrow"/>
              <w:noProof/>
              <w:sz w:val="24"/>
              <w:szCs w:val="24"/>
              <w:lang w:val="sk-SK" w:eastAsia="sk-SK"/>
            </w:rPr>
          </w:pPr>
          <w:hyperlink w:anchor="_Toc137639151" w:history="1">
            <w:r w:rsidR="00AB31F5" w:rsidRPr="00AB31F5">
              <w:rPr>
                <w:rStyle w:val="Hypertextovprepojenie"/>
                <w:rFonts w:ascii="Arial Narrow" w:hAnsi="Arial Narrow"/>
                <w:noProof/>
                <w:sz w:val="24"/>
                <w:szCs w:val="24"/>
              </w:rPr>
              <w:t>Článok 9. REALIZÁCIA PROJEKTU</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16</w:t>
            </w:r>
            <w:r w:rsidR="00AB31F5" w:rsidRPr="00AB31F5">
              <w:rPr>
                <w:rFonts w:ascii="Arial Narrow" w:hAnsi="Arial Narrow"/>
                <w:noProof/>
                <w:webHidden/>
                <w:sz w:val="24"/>
                <w:szCs w:val="24"/>
              </w:rPr>
              <w:fldChar w:fldCharType="end"/>
            </w:r>
          </w:hyperlink>
        </w:p>
        <w:p w14:paraId="52912899" w14:textId="7808FC3E" w:rsidR="00AB31F5" w:rsidRPr="00AB31F5" w:rsidRDefault="00420958">
          <w:pPr>
            <w:pStyle w:val="Obsah2"/>
            <w:rPr>
              <w:rFonts w:ascii="Arial Narrow" w:hAnsi="Arial Narrow"/>
              <w:noProof/>
              <w:sz w:val="24"/>
              <w:szCs w:val="24"/>
              <w:lang w:val="sk-SK" w:eastAsia="sk-SK"/>
            </w:rPr>
          </w:pPr>
          <w:hyperlink w:anchor="_Toc137639152" w:history="1">
            <w:r w:rsidR="00AB31F5" w:rsidRPr="00AB31F5">
              <w:rPr>
                <w:rStyle w:val="Hypertextovprepojenie"/>
                <w:rFonts w:ascii="Arial Narrow" w:hAnsi="Arial Narrow"/>
                <w:noProof/>
                <w:sz w:val="24"/>
                <w:szCs w:val="24"/>
              </w:rPr>
              <w:t>Článok 10. ZMENA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18</w:t>
            </w:r>
            <w:r w:rsidR="00AB31F5" w:rsidRPr="00AB31F5">
              <w:rPr>
                <w:rFonts w:ascii="Arial Narrow" w:hAnsi="Arial Narrow"/>
                <w:noProof/>
                <w:webHidden/>
                <w:sz w:val="24"/>
                <w:szCs w:val="24"/>
              </w:rPr>
              <w:fldChar w:fldCharType="end"/>
            </w:r>
          </w:hyperlink>
        </w:p>
        <w:p w14:paraId="25CF5EDC" w14:textId="73C4BED2" w:rsidR="00AB31F5" w:rsidRPr="00AB31F5" w:rsidRDefault="00420958">
          <w:pPr>
            <w:pStyle w:val="Obsah2"/>
            <w:rPr>
              <w:rFonts w:ascii="Arial Narrow" w:hAnsi="Arial Narrow"/>
              <w:noProof/>
              <w:sz w:val="24"/>
              <w:szCs w:val="24"/>
              <w:lang w:val="sk-SK" w:eastAsia="sk-SK"/>
            </w:rPr>
          </w:pPr>
          <w:hyperlink w:anchor="_Toc137639153" w:history="1">
            <w:r w:rsidR="00AB31F5" w:rsidRPr="00AB31F5">
              <w:rPr>
                <w:rStyle w:val="Hypertextovprepojenie"/>
                <w:rFonts w:ascii="Arial Narrow" w:hAnsi="Arial Narrow"/>
                <w:noProof/>
                <w:sz w:val="24"/>
                <w:szCs w:val="24"/>
              </w:rPr>
              <w:t>Článok 11. UKONČENIE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20</w:t>
            </w:r>
            <w:r w:rsidR="00AB31F5" w:rsidRPr="00AB31F5">
              <w:rPr>
                <w:rFonts w:ascii="Arial Narrow" w:hAnsi="Arial Narrow"/>
                <w:noProof/>
                <w:webHidden/>
                <w:sz w:val="24"/>
                <w:szCs w:val="24"/>
              </w:rPr>
              <w:fldChar w:fldCharType="end"/>
            </w:r>
          </w:hyperlink>
        </w:p>
        <w:p w14:paraId="1F76D944" w14:textId="060A9783" w:rsidR="00AB31F5" w:rsidRPr="00AB31F5" w:rsidRDefault="00420958">
          <w:pPr>
            <w:pStyle w:val="Obsah2"/>
            <w:rPr>
              <w:rFonts w:ascii="Arial Narrow" w:hAnsi="Arial Narrow"/>
              <w:noProof/>
              <w:sz w:val="24"/>
              <w:szCs w:val="24"/>
              <w:lang w:val="sk-SK" w:eastAsia="sk-SK"/>
            </w:rPr>
          </w:pPr>
          <w:hyperlink w:anchor="_Toc137639154" w:history="1">
            <w:r w:rsidR="00AB31F5" w:rsidRPr="00AB31F5">
              <w:rPr>
                <w:rStyle w:val="Hypertextovprepojenie"/>
                <w:rFonts w:ascii="Arial Narrow" w:hAnsi="Arial Narrow"/>
                <w:noProof/>
                <w:sz w:val="24"/>
                <w:szCs w:val="24"/>
              </w:rPr>
              <w:t>Článok 12. ZABEZPEČENIE POHĽADÁVKY, POISTENIE MAJETKU A ZMLUVNÁ POKUTA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23</w:t>
            </w:r>
            <w:r w:rsidR="00AB31F5" w:rsidRPr="00AB31F5">
              <w:rPr>
                <w:rFonts w:ascii="Arial Narrow" w:hAnsi="Arial Narrow"/>
                <w:noProof/>
                <w:webHidden/>
                <w:sz w:val="24"/>
                <w:szCs w:val="24"/>
              </w:rPr>
              <w:fldChar w:fldCharType="end"/>
            </w:r>
          </w:hyperlink>
        </w:p>
        <w:p w14:paraId="2D79DA26" w14:textId="4FCA756B" w:rsidR="00AB31F5" w:rsidRPr="00AB31F5" w:rsidRDefault="00420958">
          <w:pPr>
            <w:pStyle w:val="Obsah2"/>
            <w:rPr>
              <w:rFonts w:ascii="Arial Narrow" w:hAnsi="Arial Narrow"/>
              <w:noProof/>
              <w:sz w:val="24"/>
              <w:szCs w:val="24"/>
              <w:lang w:val="sk-SK" w:eastAsia="sk-SK"/>
            </w:rPr>
          </w:pPr>
          <w:hyperlink w:anchor="_Toc137639155" w:history="1">
            <w:r w:rsidR="00AB31F5" w:rsidRPr="00AB31F5">
              <w:rPr>
                <w:rStyle w:val="Hypertextovprepojenie"/>
                <w:rFonts w:ascii="Arial Narrow" w:hAnsi="Arial Narrow"/>
                <w:noProof/>
                <w:sz w:val="24"/>
                <w:szCs w:val="24"/>
              </w:rPr>
              <w:t>Článok 13. KONTROLA A AUDIT</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24</w:t>
            </w:r>
            <w:r w:rsidR="00AB31F5" w:rsidRPr="00AB31F5">
              <w:rPr>
                <w:rFonts w:ascii="Arial Narrow" w:hAnsi="Arial Narrow"/>
                <w:noProof/>
                <w:webHidden/>
                <w:sz w:val="24"/>
                <w:szCs w:val="24"/>
              </w:rPr>
              <w:fldChar w:fldCharType="end"/>
            </w:r>
          </w:hyperlink>
        </w:p>
        <w:p w14:paraId="36B2B27B" w14:textId="2C96088E" w:rsidR="00AB31F5" w:rsidRPr="00AB31F5" w:rsidRDefault="00420958">
          <w:pPr>
            <w:pStyle w:val="Obsah2"/>
            <w:rPr>
              <w:rFonts w:ascii="Arial Narrow" w:hAnsi="Arial Narrow"/>
              <w:noProof/>
              <w:sz w:val="24"/>
              <w:szCs w:val="24"/>
              <w:lang w:val="sk-SK" w:eastAsia="sk-SK"/>
            </w:rPr>
          </w:pPr>
          <w:hyperlink w:anchor="_Toc137639156" w:history="1">
            <w:r w:rsidR="00AB31F5" w:rsidRPr="00AB31F5">
              <w:rPr>
                <w:rStyle w:val="Hypertextovprepojenie"/>
                <w:rFonts w:ascii="Arial Narrow" w:hAnsi="Arial Narrow"/>
                <w:noProof/>
                <w:sz w:val="24"/>
                <w:szCs w:val="24"/>
              </w:rPr>
              <w:t>Článok 14. VYSPORIADANIE FINANČNÝCH VZŤAHOV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25</w:t>
            </w:r>
            <w:r w:rsidR="00AB31F5" w:rsidRPr="00AB31F5">
              <w:rPr>
                <w:rFonts w:ascii="Arial Narrow" w:hAnsi="Arial Narrow"/>
                <w:noProof/>
                <w:webHidden/>
                <w:sz w:val="24"/>
                <w:szCs w:val="24"/>
              </w:rPr>
              <w:fldChar w:fldCharType="end"/>
            </w:r>
          </w:hyperlink>
        </w:p>
        <w:p w14:paraId="0075E7E3" w14:textId="1EED7250" w:rsidR="00AB31F5" w:rsidRPr="00AB31F5" w:rsidRDefault="00420958">
          <w:pPr>
            <w:pStyle w:val="Obsah2"/>
            <w:rPr>
              <w:rFonts w:ascii="Arial Narrow" w:hAnsi="Arial Narrow"/>
              <w:noProof/>
              <w:sz w:val="24"/>
              <w:szCs w:val="24"/>
              <w:lang w:val="sk-SK" w:eastAsia="sk-SK"/>
            </w:rPr>
          </w:pPr>
          <w:hyperlink w:anchor="_Toc137639157" w:history="1">
            <w:r w:rsidR="00AB31F5" w:rsidRPr="00AB31F5">
              <w:rPr>
                <w:rStyle w:val="Hypertextovprepojenie"/>
                <w:rFonts w:ascii="Arial Narrow" w:hAnsi="Arial Narrow"/>
                <w:noProof/>
                <w:sz w:val="24"/>
                <w:szCs w:val="24"/>
              </w:rPr>
              <w:t>Článok 15. MENY A KURZOVÉ ROZDIELY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464DA2B7" w14:textId="58D1D57B" w:rsidR="00AB31F5" w:rsidRPr="00AB31F5" w:rsidRDefault="00420958">
          <w:pPr>
            <w:pStyle w:val="Obsah2"/>
            <w:rPr>
              <w:rFonts w:ascii="Arial Narrow" w:hAnsi="Arial Narrow"/>
              <w:noProof/>
              <w:sz w:val="24"/>
              <w:szCs w:val="24"/>
              <w:lang w:val="sk-SK" w:eastAsia="sk-SK"/>
            </w:rPr>
          </w:pPr>
          <w:hyperlink w:anchor="_Toc137639158" w:history="1">
            <w:r w:rsidR="00AB31F5" w:rsidRPr="00AB31F5">
              <w:rPr>
                <w:rStyle w:val="Hypertextovprepojenie"/>
                <w:rFonts w:ascii="Arial Narrow" w:hAnsi="Arial Narrow"/>
                <w:noProof/>
                <w:sz w:val="24"/>
                <w:szCs w:val="24"/>
              </w:rPr>
              <w:t>Článok 16. ÚČTY PRIJÍMATEĽA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2B68299D" w14:textId="01FE814B" w:rsidR="00AB31F5" w:rsidRPr="00AB31F5" w:rsidRDefault="00420958">
          <w:pPr>
            <w:pStyle w:val="Obsah2"/>
            <w:rPr>
              <w:rFonts w:ascii="Arial Narrow" w:hAnsi="Arial Narrow"/>
              <w:noProof/>
              <w:sz w:val="24"/>
              <w:szCs w:val="24"/>
              <w:lang w:val="sk-SK" w:eastAsia="sk-SK"/>
            </w:rPr>
          </w:pPr>
          <w:hyperlink w:anchor="_Toc137639159" w:history="1">
            <w:r w:rsidR="00AB31F5" w:rsidRPr="00AB31F5">
              <w:rPr>
                <w:rStyle w:val="Hypertextovprepojenie"/>
                <w:rFonts w:ascii="Arial Narrow" w:hAnsi="Arial Narrow"/>
                <w:noProof/>
                <w:sz w:val="24"/>
                <w:szCs w:val="24"/>
              </w:rPr>
              <w:t>Článok 17. PLATBY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28</w:t>
            </w:r>
            <w:r w:rsidR="00AB31F5" w:rsidRPr="00AB31F5">
              <w:rPr>
                <w:rFonts w:ascii="Arial Narrow" w:hAnsi="Arial Narrow"/>
                <w:noProof/>
                <w:webHidden/>
                <w:sz w:val="24"/>
                <w:szCs w:val="24"/>
              </w:rPr>
              <w:fldChar w:fldCharType="end"/>
            </w:r>
          </w:hyperlink>
        </w:p>
        <w:p w14:paraId="561136E3" w14:textId="13623F1B" w:rsidR="00AB31F5" w:rsidRPr="00AB31F5" w:rsidRDefault="00420958">
          <w:pPr>
            <w:pStyle w:val="Obsah2"/>
            <w:rPr>
              <w:rFonts w:ascii="Arial Narrow" w:hAnsi="Arial Narrow"/>
              <w:noProof/>
              <w:sz w:val="24"/>
              <w:szCs w:val="24"/>
              <w:lang w:val="sk-SK" w:eastAsia="sk-SK"/>
            </w:rPr>
          </w:pPr>
          <w:hyperlink w:anchor="_Toc137639160" w:history="1">
            <w:r w:rsidR="00AB31F5" w:rsidRPr="00AB31F5">
              <w:rPr>
                <w:rStyle w:val="Hypertextovprepojenie"/>
                <w:rFonts w:ascii="Arial Narrow" w:hAnsi="Arial Narrow"/>
                <w:noProof/>
                <w:sz w:val="24"/>
                <w:szCs w:val="24"/>
              </w:rPr>
              <w:t>Článok 17a. Systém predfinancovania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6D738DE9" w14:textId="2E2B333C" w:rsidR="00AB31F5" w:rsidRPr="00AB31F5" w:rsidRDefault="00420958">
          <w:pPr>
            <w:pStyle w:val="Obsah2"/>
            <w:rPr>
              <w:rFonts w:ascii="Arial Narrow" w:hAnsi="Arial Narrow"/>
              <w:noProof/>
              <w:sz w:val="24"/>
              <w:szCs w:val="24"/>
              <w:lang w:val="sk-SK" w:eastAsia="sk-SK"/>
            </w:rPr>
          </w:pPr>
          <w:hyperlink w:anchor="_Toc137639161" w:history="1">
            <w:r w:rsidR="00AB31F5" w:rsidRPr="00AB31F5">
              <w:rPr>
                <w:rStyle w:val="Hypertextovprepojenie"/>
                <w:rFonts w:ascii="Arial Narrow" w:hAnsi="Arial Narrow"/>
                <w:noProof/>
                <w:sz w:val="24"/>
                <w:szCs w:val="24"/>
              </w:rPr>
              <w:t>Článok 17b. Systém zálohových platieb</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05180F9F" w14:textId="35306AF4" w:rsidR="00AB31F5" w:rsidRPr="00AB31F5" w:rsidRDefault="00420958">
          <w:pPr>
            <w:pStyle w:val="Obsah2"/>
            <w:rPr>
              <w:rFonts w:ascii="Arial Narrow" w:hAnsi="Arial Narrow"/>
              <w:noProof/>
              <w:sz w:val="24"/>
              <w:szCs w:val="24"/>
              <w:lang w:val="sk-SK" w:eastAsia="sk-SK"/>
            </w:rPr>
          </w:pPr>
          <w:hyperlink w:anchor="_Toc137639162" w:history="1">
            <w:r w:rsidR="00AB31F5" w:rsidRPr="00AB31F5">
              <w:rPr>
                <w:rStyle w:val="Hypertextovprepojenie"/>
                <w:rFonts w:ascii="Arial Narrow" w:hAnsi="Arial Narrow"/>
                <w:noProof/>
                <w:sz w:val="24"/>
                <w:szCs w:val="24"/>
              </w:rPr>
              <w:t>Článok 17c. Systém refundácie</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30</w:t>
            </w:r>
            <w:r w:rsidR="00AB31F5"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1" w:name="_Toc137639143"/>
      <w:r w:rsidRPr="00900AF8">
        <w:t>Č</w:t>
      </w:r>
      <w:r w:rsidR="00666159" w:rsidRPr="00900AF8">
        <w:t>lánok</w:t>
      </w:r>
      <w:r w:rsidRPr="00900AF8">
        <w:t xml:space="preserve"> 1</w:t>
      </w:r>
      <w:r w:rsidR="002B3583" w:rsidRPr="00900AF8">
        <w:t xml:space="preserve">. </w:t>
      </w:r>
      <w:r w:rsidRPr="00900AF8">
        <w:t>VŠEOBECNÉ USTANOVENIA</w:t>
      </w:r>
      <w:bookmarkEnd w:id="1"/>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A391015" w14:textId="29565976"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 xml:space="preserve">(t.j.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E74A0E"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kvantitatívne a </w:t>
      </w:r>
      <w:r w:rsidR="00B57471" w:rsidRPr="00E74A0E">
        <w:rPr>
          <w:rFonts w:ascii="Arial Narrow" w:eastAsia="Calibri" w:hAnsi="Arial Narrow" w:cs="Times New Roman"/>
          <w:bCs/>
          <w:sz w:val="22"/>
          <w:szCs w:val="22"/>
          <w:lang w:val="sk-SK" w:eastAsia="en-US"/>
        </w:rPr>
        <w:t xml:space="preserve">kvalitatívne dosiahnutie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ýstupov a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ýsledkov Projektu v súlade s </w:t>
      </w:r>
      <w:r w:rsidR="00F063E4" w:rsidRPr="00E74A0E">
        <w:rPr>
          <w:rFonts w:ascii="Arial Narrow" w:eastAsia="Calibri" w:hAnsi="Arial Narrow" w:cs="Times New Roman"/>
          <w:bCs/>
          <w:sz w:val="22"/>
          <w:szCs w:val="22"/>
          <w:lang w:val="sk-SK" w:eastAsia="en-US"/>
        </w:rPr>
        <w:t>K</w:t>
      </w:r>
      <w:r w:rsidR="00B57471" w:rsidRPr="00E74A0E">
        <w:rPr>
          <w:rFonts w:ascii="Arial Narrow" w:eastAsia="Calibri" w:hAnsi="Arial Narrow" w:cs="Times New Roman"/>
          <w:bCs/>
          <w:sz w:val="22"/>
          <w:szCs w:val="22"/>
          <w:lang w:val="sk-SK" w:eastAsia="en-US"/>
        </w:rPr>
        <w:t xml:space="preserve">ladne posúdenou </w:t>
      </w:r>
      <w:r w:rsidR="009769AC" w:rsidRPr="00E74A0E">
        <w:rPr>
          <w:rFonts w:ascii="Arial Narrow" w:eastAsia="Calibri" w:hAnsi="Arial Narrow" w:cs="Times New Roman"/>
          <w:bCs/>
          <w:sz w:val="22"/>
          <w:szCs w:val="22"/>
          <w:lang w:val="sk-SK" w:eastAsia="en-US"/>
        </w:rPr>
        <w:t>ž</w:t>
      </w:r>
      <w:r w:rsidR="00B57471" w:rsidRPr="00E74A0E">
        <w:rPr>
          <w:rFonts w:ascii="Arial Narrow" w:eastAsia="Calibri" w:hAnsi="Arial Narrow" w:cs="Times New Roman"/>
          <w:bCs/>
          <w:sz w:val="22"/>
          <w:szCs w:val="22"/>
          <w:lang w:val="sk-SK" w:eastAsia="en-US"/>
        </w:rPr>
        <w:t>iadosťou o prostriedk</w:t>
      </w:r>
      <w:r w:rsidR="00CB2BF7" w:rsidRPr="00E74A0E">
        <w:rPr>
          <w:rFonts w:ascii="Arial Narrow" w:eastAsia="Calibri" w:hAnsi="Arial Narrow" w:cs="Times New Roman"/>
          <w:bCs/>
          <w:sz w:val="22"/>
          <w:szCs w:val="22"/>
          <w:lang w:val="sk-SK" w:eastAsia="en-US"/>
        </w:rPr>
        <w:t>y</w:t>
      </w:r>
      <w:r w:rsidR="00B57471" w:rsidRPr="00E74A0E">
        <w:rPr>
          <w:rFonts w:ascii="Arial Narrow" w:eastAsia="Calibri" w:hAnsi="Arial Narrow" w:cs="Times New Roman"/>
          <w:bCs/>
          <w:sz w:val="22"/>
          <w:szCs w:val="22"/>
          <w:lang w:val="sk-SK" w:eastAsia="en-US"/>
        </w:rPr>
        <w:t xml:space="preserve"> mechanizmu, ktoré m</w:t>
      </w:r>
      <w:r w:rsidR="00E22E4E" w:rsidRPr="00E74A0E">
        <w:rPr>
          <w:rFonts w:ascii="Arial Narrow" w:eastAsia="Calibri" w:hAnsi="Arial Narrow" w:cs="Times New Roman"/>
          <w:bCs/>
          <w:sz w:val="22"/>
          <w:szCs w:val="22"/>
          <w:lang w:val="sk-SK" w:eastAsia="en-US"/>
        </w:rPr>
        <w:t>ajú</w:t>
      </w:r>
      <w:r w:rsidR="00B57471" w:rsidRPr="00E74A0E">
        <w:rPr>
          <w:rFonts w:ascii="Arial Narrow" w:eastAsia="Calibri" w:hAnsi="Arial Narrow" w:cs="Times New Roman"/>
          <w:bCs/>
          <w:sz w:val="22"/>
          <w:szCs w:val="22"/>
          <w:lang w:val="sk-SK" w:eastAsia="en-US"/>
        </w:rPr>
        <w:t xml:space="preserve"> byť zabezpečené </w:t>
      </w:r>
      <w:r w:rsidR="00DD3E3B" w:rsidRPr="00E74A0E">
        <w:rPr>
          <w:rFonts w:ascii="Arial Narrow" w:eastAsia="Calibri" w:hAnsi="Arial Narrow" w:cs="Times New Roman"/>
          <w:bCs/>
          <w:sz w:val="22"/>
          <w:szCs w:val="22"/>
          <w:lang w:val="sk-SK" w:eastAsia="en-US"/>
        </w:rPr>
        <w:t>R</w:t>
      </w:r>
      <w:r w:rsidR="00B57471" w:rsidRPr="00E74A0E">
        <w:rPr>
          <w:rFonts w:ascii="Arial Narrow" w:eastAsia="Calibri" w:hAnsi="Arial Narrow" w:cs="Times New Roman"/>
          <w:bCs/>
          <w:sz w:val="22"/>
          <w:szCs w:val="22"/>
          <w:lang w:val="sk-SK" w:eastAsia="en-US"/>
        </w:rPr>
        <w:t>ealizáciou Projektu v súlade so Zmluvou</w:t>
      </w:r>
      <w:r w:rsidR="005F6A4F" w:rsidRPr="00E74A0E">
        <w:rPr>
          <w:rFonts w:ascii="Arial Narrow" w:eastAsia="Calibri" w:hAnsi="Arial Narrow" w:cs="Times New Roman"/>
          <w:bCs/>
          <w:sz w:val="22"/>
          <w:szCs w:val="22"/>
          <w:lang w:val="sk-SK" w:eastAsia="en-US"/>
        </w:rPr>
        <w:t>.</w:t>
      </w:r>
      <w:r w:rsidR="00275DF1" w:rsidRPr="00E74A0E">
        <w:rPr>
          <w:rFonts w:ascii="Arial Narrow" w:eastAsia="Calibri" w:hAnsi="Arial Narrow" w:cs="Times New Roman"/>
          <w:bCs/>
          <w:sz w:val="22"/>
          <w:szCs w:val="22"/>
          <w:lang w:val="sk-SK" w:eastAsia="en-US"/>
        </w:rPr>
        <w:t xml:space="preserve"> Cieľ pr</w:t>
      </w:r>
      <w:r w:rsidR="00847305" w:rsidRPr="00E74A0E">
        <w:rPr>
          <w:rFonts w:ascii="Arial Narrow" w:eastAsia="Calibri" w:hAnsi="Arial Narrow" w:cs="Times New Roman"/>
          <w:bCs/>
          <w:sz w:val="22"/>
          <w:szCs w:val="22"/>
          <w:lang w:val="sk-SK" w:eastAsia="en-US"/>
        </w:rPr>
        <w:t>o</w:t>
      </w:r>
      <w:r w:rsidR="00275DF1" w:rsidRPr="00E74A0E">
        <w:rPr>
          <w:rFonts w:ascii="Arial Narrow" w:eastAsia="Calibri" w:hAnsi="Arial Narrow" w:cs="Times New Roman"/>
          <w:bCs/>
          <w:sz w:val="22"/>
          <w:szCs w:val="22"/>
          <w:lang w:val="sk-SK" w:eastAsia="en-US"/>
        </w:rPr>
        <w:t>jektu je bližšie špecifikovaný v Prílohe č. 2 Opis projektu</w:t>
      </w:r>
      <w:r w:rsidR="004D63E1" w:rsidRPr="00E74A0E">
        <w:rPr>
          <w:rFonts w:ascii="Arial Narrow" w:eastAsia="Calibri" w:hAnsi="Arial Narrow" w:cs="Times New Roman"/>
          <w:bCs/>
          <w:sz w:val="22"/>
          <w:szCs w:val="22"/>
          <w:lang w:val="sk-SK" w:eastAsia="en-US"/>
        </w:rPr>
        <w:t>;</w:t>
      </w:r>
    </w:p>
    <w:p w14:paraId="7F8AE854" w14:textId="5E5462DC" w:rsidR="006639BF" w:rsidRPr="00E74A0E" w:rsidRDefault="001E61BB"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Doba udržateľnosti Projektu</w:t>
      </w:r>
      <w:r w:rsidRPr="00E74A0E">
        <w:rPr>
          <w:rFonts w:ascii="Arial Narrow" w:eastAsia="Calibri" w:hAnsi="Arial Narrow" w:cs="Times New Roman"/>
          <w:bCs/>
          <w:sz w:val="22"/>
          <w:szCs w:val="22"/>
          <w:lang w:val="sk-SK" w:eastAsia="en-US"/>
        </w:rPr>
        <w:t xml:space="preserve"> – </w:t>
      </w:r>
      <w:r w:rsidR="00E74A0E" w:rsidRPr="00E74A0E">
        <w:rPr>
          <w:rStyle w:val="normaltextrun"/>
          <w:rFonts w:ascii="Arial Narrow" w:hAnsi="Arial Narrow"/>
          <w:color w:val="000000"/>
          <w:sz w:val="22"/>
          <w:szCs w:val="22"/>
          <w:shd w:val="clear" w:color="auto" w:fill="FFFFFF"/>
          <w:lang w:val="sk-SK"/>
        </w:rPr>
        <w:t>doba, počas ktorej sa Prijímateľ zaväzuje udržať (zachovať) Cieľ Projektu</w:t>
      </w:r>
      <w:r w:rsidR="00E74A0E">
        <w:rPr>
          <w:rStyle w:val="normaltextrun"/>
          <w:rFonts w:ascii="Arial Narrow" w:hAnsi="Arial Narrow"/>
          <w:color w:val="000000"/>
          <w:sz w:val="22"/>
          <w:szCs w:val="22"/>
          <w:shd w:val="clear" w:color="auto" w:fill="FFFFFF"/>
          <w:lang w:val="sk-SK"/>
        </w:rPr>
        <w:t>. Jej</w:t>
      </w:r>
      <w:r w:rsidR="00E74A0E" w:rsidRPr="00E74A0E">
        <w:rPr>
          <w:rStyle w:val="normaltextrun"/>
          <w:rFonts w:ascii="Arial Narrow" w:hAnsi="Arial Narrow"/>
          <w:color w:val="000000"/>
          <w:sz w:val="22"/>
          <w:szCs w:val="22"/>
          <w:shd w:val="clear" w:color="auto" w:fill="FFFFFF"/>
          <w:lang w:val="sk-SK"/>
        </w:rPr>
        <w:t xml:space="preserve"> dĺžka je určená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s="Arial Narrow"/>
          <w:color w:val="000000"/>
          <w:sz w:val="22"/>
          <w:szCs w:val="22"/>
          <w:shd w:val="clear" w:color="auto" w:fill="FFFFFF"/>
          <w:lang w:val="sk-SK"/>
        </w:rPr>
        <w:t>č</w:t>
      </w:r>
      <w:r w:rsidR="00E74A0E" w:rsidRPr="00E74A0E">
        <w:rPr>
          <w:rStyle w:val="normaltextrun"/>
          <w:rFonts w:ascii="Arial Narrow" w:hAnsi="Arial Narrow"/>
          <w:color w:val="000000"/>
          <w:sz w:val="22"/>
          <w:szCs w:val="22"/>
          <w:shd w:val="clear" w:color="auto" w:fill="FFFFFF"/>
          <w:lang w:val="sk-SK"/>
        </w:rPr>
        <w:t>lánku 4 Zmluvy o</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poskytnut</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 xml:space="preserve"> prostriedkov mechanizmu. Doba udržateľnosti Projektu začína plynúť v kalendárny deň, ktorý nasleduje po kalendárnom dni, v ktorom došlo k Finančnému ukončeniu Projektu;</w:t>
      </w:r>
      <w:r w:rsidR="00E74A0E" w:rsidRPr="00E74A0E">
        <w:rPr>
          <w:rStyle w:val="eop"/>
          <w:rFonts w:ascii="Arial Narrow" w:hAnsi="Arial Narrow"/>
          <w:color w:val="000000"/>
          <w:sz w:val="22"/>
          <w:szCs w:val="22"/>
          <w:shd w:val="clear" w:color="auto" w:fill="FFFFFF"/>
          <w:lang w:val="sk-SK"/>
        </w:rPr>
        <w:t> </w:t>
      </w:r>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w:t>
      </w:r>
      <w:r w:rsidR="00E1432C" w:rsidRPr="00330233">
        <w:rPr>
          <w:rFonts w:ascii="Arial Narrow" w:eastAsia="Times New Roman" w:hAnsi="Arial Narrow"/>
          <w:sz w:val="22"/>
          <w:szCs w:val="22"/>
          <w:lang w:val="sk-SK"/>
        </w:rPr>
        <w:lastRenderedPageBreak/>
        <w:t xml:space="preserve">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2" w:name="_Hlk126224763"/>
      <w:r w:rsidR="00E1432C" w:rsidRPr="00330233">
        <w:rPr>
          <w:rFonts w:ascii="Arial Narrow" w:eastAsia="Times New Roman" w:hAnsi="Arial Narrow"/>
          <w:sz w:val="22"/>
          <w:szCs w:val="22"/>
          <w:lang w:val="sk-SK"/>
        </w:rPr>
        <w:t xml:space="preserve">konflikt záujmov </w:t>
      </w:r>
      <w:bookmarkEnd w:id="2"/>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73C51A77"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iii.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r w:rsidRPr="005B5423">
        <w:rPr>
          <w:rFonts w:ascii="Arial Narrow" w:eastAsia="Times New Roman" w:hAnsi="Arial Narrow" w:cs="Times New Roman"/>
          <w:sz w:val="22"/>
          <w:szCs w:val="22"/>
          <w:lang w:val="sk-SK" w:eastAsia="sk-SK"/>
        </w:rPr>
        <w:t>vi.</w:t>
      </w:r>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vii.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iii.</w:t>
      </w:r>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w:t>
      </w:r>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w:t>
      </w:r>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viii.</w:t>
      </w:r>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ix.</w:t>
      </w:r>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xi.</w:t>
      </w:r>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C1EB513" w14:textId="77777777" w:rsidR="001459A2" w:rsidRDefault="0070265C" w:rsidP="00FB439B">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xii.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1459A2">
        <w:rPr>
          <w:rFonts w:ascii="Arial Narrow" w:eastAsia="Times New Roman" w:hAnsi="Arial Narrow" w:cs="Times New Roman"/>
          <w:sz w:val="22"/>
          <w:szCs w:val="22"/>
          <w:lang w:val="sk-SK" w:eastAsia="sk-SK"/>
        </w:rPr>
        <w:t>;</w:t>
      </w:r>
    </w:p>
    <w:p w14:paraId="4E50BB1F" w14:textId="4693F4DB" w:rsidR="00B84C0D" w:rsidRPr="00900AF8" w:rsidRDefault="001459A2" w:rsidP="00FB439B">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xiii. </w:t>
      </w:r>
      <w:r w:rsidRPr="001459A2">
        <w:rPr>
          <w:rFonts w:ascii="Arial Narrow" w:eastAsia="Times New Roman" w:hAnsi="Arial Narrow" w:cs="Times New Roman"/>
          <w:sz w:val="22"/>
          <w:szCs w:val="22"/>
          <w:lang w:val="sk-SK" w:eastAsia="sk-SK"/>
        </w:rPr>
        <w:t>zákon č. 187/2021 Z. z. o ochrane hospodárskej súťaže a o zmene a doplnení niektorých zákonov (ďalej len „zákon o ochrane hospodárskej súťaže“).</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51BE4AC8"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004D63E1">
      <w:pPr>
        <w:pStyle w:val="Bezriadkovania1"/>
        <w:ind w:left="567"/>
        <w:jc w:val="both"/>
        <w:rPr>
          <w:rFonts w:ascii="Arial Narrow" w:hAnsi="Arial Narrow"/>
          <w:bCs/>
        </w:rPr>
      </w:pPr>
      <w:r w:rsidRPr="00900AF8">
        <w:rPr>
          <w:rFonts w:ascii="Arial Narrow" w:hAnsi="Arial Narrow"/>
          <w:b/>
          <w:bCs/>
        </w:rPr>
        <w:t>Predmet Projektu</w:t>
      </w:r>
      <w:r w:rsidR="00411D5F" w:rsidRPr="00900AF8">
        <w:rPr>
          <w:rFonts w:ascii="Arial Narrow" w:hAnsi="Arial Narrow"/>
        </w:rPr>
        <w:t xml:space="preserve"> </w:t>
      </w:r>
      <w:r w:rsidR="00411D5F" w:rsidRPr="00900AF8">
        <w:rPr>
          <w:rFonts w:ascii="Arial Narrow" w:hAnsi="Arial Narrow"/>
          <w:bCs/>
        </w:rPr>
        <w:t xml:space="preserve">– </w:t>
      </w:r>
      <w:r w:rsidRPr="00900AF8">
        <w:rPr>
          <w:rFonts w:ascii="Arial Narrow" w:hAnsi="Arial Narrow"/>
        </w:rPr>
        <w:t>hmotne zachytiteľná podstata Projektu, ktorej nadobudnutie, realizácia, rekonštrukcia, poskytnutie alebo iné aktivity opísané v Projekte boli spolufinancované z </w:t>
      </w:r>
      <w:r w:rsidR="00AE4BD5" w:rsidRPr="00900AF8">
        <w:rPr>
          <w:rFonts w:ascii="Arial Narrow" w:hAnsi="Arial Narrow"/>
        </w:rPr>
        <w:t>P</w:t>
      </w:r>
      <w:r w:rsidRPr="00900AF8">
        <w:rPr>
          <w:rFonts w:ascii="Arial Narrow" w:hAnsi="Arial Narrow"/>
        </w:rPr>
        <w:t>rostriedkov mechanizmu</w:t>
      </w:r>
      <w:r w:rsidRPr="00900AF8">
        <w:rPr>
          <w:rFonts w:ascii="Arial Narrow" w:hAnsi="Arial Narrow"/>
          <w:bCs/>
        </w:rPr>
        <w:t>; môže ísť napríklad o stavbu, zariadenie, dokumentáciu, inú vec, majetkovú hodnotu alebo právo, pričom jeden Projekt môže zahŕňať aj viacero Predmetov Projektu</w:t>
      </w:r>
      <w:r w:rsidR="004D63E1" w:rsidRPr="00900AF8">
        <w:rPr>
          <w:rFonts w:ascii="Arial Narrow" w:hAnsi="Arial Narrow"/>
          <w:bCs/>
        </w:rPr>
        <w:t>;</w:t>
      </w:r>
    </w:p>
    <w:p w14:paraId="77656E08" w14:textId="77777777" w:rsidR="00A61DB4" w:rsidRPr="00900AF8" w:rsidRDefault="00A61DB4" w:rsidP="00A61DB4">
      <w:pPr>
        <w:pStyle w:val="Bezriadkovania1"/>
        <w:ind w:left="567"/>
        <w:jc w:val="both"/>
        <w:rPr>
          <w:rFonts w:ascii="Arial Narrow" w:hAnsi="Arial Narrow"/>
        </w:rPr>
      </w:pPr>
      <w:r w:rsidRPr="00900AF8">
        <w:rPr>
          <w:rFonts w:ascii="Arial Narrow" w:hAnsi="Arial Narrow"/>
          <w:b/>
          <w:bCs/>
        </w:rPr>
        <w:t>Princíp ,,výrazne nenarušiť“</w:t>
      </w:r>
      <w:r w:rsidR="00411D5F" w:rsidRPr="00900AF8">
        <w:rPr>
          <w:rFonts w:ascii="Arial Narrow" w:hAnsi="Arial Narrow"/>
          <w:b/>
          <w:bCs/>
        </w:rPr>
        <w:t xml:space="preserve"> </w:t>
      </w:r>
      <w:r w:rsidR="00411D5F" w:rsidRPr="00900AF8">
        <w:rPr>
          <w:rFonts w:ascii="Arial Narrow" w:hAnsi="Arial Narrow"/>
          <w:bCs/>
        </w:rPr>
        <w:t>–</w:t>
      </w:r>
      <w:r w:rsidRPr="00900AF8">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de minimis“</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minimis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štátnej pomoci/pomoci de minimis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minimis“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E74A0E"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w:t>
      </w:r>
      <w:r w:rsidR="009E4AA4" w:rsidRPr="00E74A0E">
        <w:rPr>
          <w:rFonts w:ascii="Arial Narrow" w:eastAsia="Calibri" w:hAnsi="Arial Narrow" w:cs="Times New Roman"/>
          <w:sz w:val="22"/>
          <w:szCs w:val="22"/>
          <w:lang w:val="sk-SK" w:eastAsia="en-US"/>
        </w:rPr>
        <w:t>. l) zákona o mechanizme</w:t>
      </w:r>
      <w:r w:rsidRPr="00E74A0E">
        <w:rPr>
          <w:rFonts w:ascii="Arial Narrow" w:eastAsia="Calibri" w:hAnsi="Arial Narrow" w:cs="Times New Roman"/>
          <w:sz w:val="22"/>
          <w:szCs w:val="22"/>
          <w:lang w:val="sk-SK" w:eastAsia="en-US"/>
        </w:rPr>
        <w:t xml:space="preserve">; </w:t>
      </w:r>
      <w:r w:rsidR="004320F5" w:rsidRPr="00E74A0E">
        <w:rPr>
          <w:rFonts w:ascii="Arial Narrow" w:eastAsia="Calibri" w:hAnsi="Arial Narrow" w:cs="Times New Roman"/>
          <w:sz w:val="22"/>
          <w:szCs w:val="22"/>
          <w:lang w:val="sk-SK" w:eastAsia="en-US"/>
        </w:rPr>
        <w:t>p</w:t>
      </w:r>
      <w:r w:rsidRPr="00E74A0E">
        <w:rPr>
          <w:rFonts w:ascii="Arial Narrow" w:eastAsia="Calibri" w:hAnsi="Arial Narrow" w:cs="Times New Roman"/>
          <w:sz w:val="22"/>
          <w:szCs w:val="22"/>
          <w:lang w:val="sk-SK" w:eastAsia="en-US"/>
        </w:rPr>
        <w:t xml:space="preserve">re účely Zmluvy je </w:t>
      </w:r>
      <w:r w:rsidR="00411D5F" w:rsidRPr="00E74A0E">
        <w:rPr>
          <w:rFonts w:ascii="Arial Narrow" w:eastAsia="Calibri" w:hAnsi="Arial Narrow" w:cs="Times New Roman"/>
          <w:sz w:val="22"/>
          <w:szCs w:val="22"/>
          <w:lang w:val="sk-SK" w:eastAsia="en-US"/>
        </w:rPr>
        <w:t xml:space="preserve">vždy </w:t>
      </w:r>
      <w:r w:rsidRPr="00E74A0E">
        <w:rPr>
          <w:rFonts w:ascii="Arial Narrow" w:eastAsia="Calibri" w:hAnsi="Arial Narrow" w:cs="Times New Roman"/>
          <w:sz w:val="22"/>
          <w:szCs w:val="22"/>
          <w:lang w:val="sk-SK" w:eastAsia="en-US"/>
        </w:rPr>
        <w:t xml:space="preserve">záväzná </w:t>
      </w:r>
      <w:r w:rsidR="009E4AA4" w:rsidRPr="00E74A0E">
        <w:rPr>
          <w:rFonts w:ascii="Arial Narrow" w:eastAsia="Calibri" w:hAnsi="Arial Narrow" w:cs="Times New Roman"/>
          <w:sz w:val="22"/>
          <w:szCs w:val="22"/>
          <w:lang w:val="sk-SK" w:eastAsia="en-US"/>
        </w:rPr>
        <w:t xml:space="preserve">účinná </w:t>
      </w:r>
      <w:r w:rsidRPr="00E74A0E">
        <w:rPr>
          <w:rFonts w:ascii="Arial Narrow" w:eastAsia="Calibri" w:hAnsi="Arial Narrow" w:cs="Times New Roman"/>
          <w:sz w:val="22"/>
          <w:szCs w:val="22"/>
          <w:lang w:val="sk-SK" w:eastAsia="en-US"/>
        </w:rPr>
        <w:t>zverejnená verzia uvedeného dokumentu na webovom sídle NIKA;</w:t>
      </w:r>
      <w:r w:rsidRPr="00E74A0E">
        <w:rPr>
          <w:rFonts w:ascii="Arial Narrow" w:eastAsia="Calibri" w:hAnsi="Arial Narrow" w:cs="Times New Roman"/>
          <w:b/>
          <w:sz w:val="22"/>
          <w:szCs w:val="22"/>
          <w:lang w:val="sk-SK" w:eastAsia="en-US"/>
        </w:rPr>
        <w:t xml:space="preserve"> </w:t>
      </w:r>
    </w:p>
    <w:p w14:paraId="46A92DF1" w14:textId="610C00AB" w:rsidR="00D500CB" w:rsidRPr="00E74A0E"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74A0E">
        <w:rPr>
          <w:rFonts w:ascii="Arial Narrow" w:eastAsia="Calibri" w:hAnsi="Arial Narrow" w:cs="Times New Roman"/>
          <w:b/>
          <w:sz w:val="22"/>
          <w:szCs w:val="22"/>
          <w:lang w:val="sk-SK" w:eastAsia="en-US"/>
        </w:rPr>
        <w:t xml:space="preserve">Udržateľnosť </w:t>
      </w:r>
      <w:r w:rsidR="00E01909" w:rsidRPr="00E74A0E">
        <w:rPr>
          <w:rFonts w:ascii="Arial Narrow" w:eastAsia="Calibri" w:hAnsi="Arial Narrow" w:cs="Times New Roman"/>
          <w:sz w:val="22"/>
          <w:szCs w:val="22"/>
          <w:lang w:val="sk-SK" w:eastAsia="en-US"/>
        </w:rPr>
        <w:t>–</w:t>
      </w:r>
      <w:r w:rsidRPr="00E74A0E">
        <w:rPr>
          <w:rFonts w:ascii="Arial Narrow" w:eastAsia="Calibri" w:hAnsi="Arial Narrow" w:cs="Times New Roman"/>
          <w:sz w:val="22"/>
          <w:szCs w:val="22"/>
          <w:lang w:val="sk-SK" w:eastAsia="en-US"/>
        </w:rPr>
        <w:t xml:space="preserve"> </w:t>
      </w:r>
      <w:r w:rsidR="00E74A0E" w:rsidRPr="00E74A0E">
        <w:rPr>
          <w:rStyle w:val="normaltextrun"/>
          <w:rFonts w:ascii="Arial Narrow" w:hAnsi="Arial Narrow"/>
          <w:color w:val="000000"/>
          <w:sz w:val="22"/>
          <w:szCs w:val="22"/>
          <w:shd w:val="clear" w:color="auto" w:fill="FFFFFF"/>
          <w:lang w:val="sk-SK"/>
        </w:rPr>
        <w:t>udržanie (zachovanie) Cieľa Projektu počas Doby udržateľnosti Projektu podľa Zmluvy.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pr</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pade, ak sa na Projekt Udržateľnosť nevzťahuje, povinnosti Prijímateľa týkajúce sa Udržateľnosti vyplývajúce z</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tejto Zmluvy sa neuplatnia;</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E74A0E">
        <w:rPr>
          <w:rFonts w:ascii="Arial Narrow" w:eastAsia="Calibri" w:hAnsi="Arial Narrow" w:cs="Times New Roman"/>
          <w:b/>
          <w:sz w:val="22"/>
          <w:szCs w:val="22"/>
          <w:lang w:val="sk-SK" w:eastAsia="en-US"/>
        </w:rPr>
        <w:lastRenderedPageBreak/>
        <w:t xml:space="preserve">Účtovný doklad </w:t>
      </w:r>
      <w:r w:rsidRPr="00E74A0E">
        <w:rPr>
          <w:rFonts w:ascii="Arial Narrow" w:eastAsia="Calibri" w:hAnsi="Arial Narrow" w:cs="Times New Roman"/>
          <w:sz w:val="22"/>
          <w:szCs w:val="22"/>
          <w:lang w:val="sk-SK" w:eastAsia="en-US"/>
        </w:rPr>
        <w:t>– doklad definovaný v §</w:t>
      </w:r>
      <w:r w:rsidRPr="00900AF8">
        <w:rPr>
          <w:rFonts w:ascii="Arial Narrow" w:eastAsia="Calibri" w:hAnsi="Arial Narrow" w:cs="Times New Roman"/>
          <w:sz w:val="22"/>
          <w:szCs w:val="22"/>
          <w:lang w:val="sk-SK" w:eastAsia="en-US"/>
        </w:rPr>
        <w:t xml:space="preserve">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zachytiteľný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zachytiteľný (zaznamenateľný),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7C5AF817"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 xml:space="preserve">Výskumník/hlavný riešiteľ </w:t>
      </w:r>
      <w:r>
        <w:rPr>
          <w:rFonts w:ascii="Arial Narrow" w:eastAsia="Calibri" w:hAnsi="Arial Narrow" w:cs="Times New Roman"/>
          <w:sz w:val="22"/>
          <w:szCs w:val="22"/>
          <w:lang w:val="sk-SK" w:eastAsia="en-US"/>
        </w:rPr>
        <w:t>– fyzická osoba identifikovaná v Kladne posúdenej žiadosti o prostriedky mechanizmu a v Prílohe č. 2 Opis projektu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/pomoci de minimis</w:t>
      </w:r>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w:t>
      </w:r>
      <w:r w:rsidR="00F208CE">
        <w:rPr>
          <w:rFonts w:ascii="Arial Narrow" w:eastAsia="Calibri" w:hAnsi="Arial Narrow" w:cs="Times New Roman"/>
          <w:sz w:val="22"/>
          <w:szCs w:val="22"/>
          <w:lang w:val="sk-SK" w:eastAsia="en-US"/>
        </w:rPr>
        <w:t>Komisie (EÚ) č. 1407/2013 z 18. </w:t>
      </w:r>
      <w:r w:rsidR="00972252" w:rsidRPr="00900AF8">
        <w:rPr>
          <w:rFonts w:ascii="Arial Narrow" w:eastAsia="Calibri" w:hAnsi="Arial Narrow" w:cs="Times New Roman"/>
          <w:sz w:val="22"/>
          <w:szCs w:val="22"/>
          <w:lang w:val="sk-SK" w:eastAsia="en-US"/>
        </w:rPr>
        <w:t>decembra 2013 o uplatňovaní článkov 107 a 108 Zmluvy o fungovaní Európskej únie na pomoc de minimis</w:t>
      </w:r>
      <w:r w:rsidR="00972252">
        <w:rPr>
          <w:rFonts w:ascii="Arial Narrow" w:eastAsia="Calibri" w:hAnsi="Arial Narrow" w:cs="Times New Roman"/>
          <w:sz w:val="22"/>
          <w:szCs w:val="22"/>
          <w:lang w:val="sk-SK" w:eastAsia="en-US"/>
        </w:rPr>
        <w:t xml:space="preserve"> v platnom znení</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ŽoP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3"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3"/>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4"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4"/>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0F6B12C0"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lastRenderedPageBreak/>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5FC0214D"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/pomoci de minimis</w:t>
      </w:r>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štátnej pomoci/pomoci de minimis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pomoc de minimis</w:t>
      </w:r>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lastRenderedPageBreak/>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5" w:name="_Toc137639145"/>
      <w:r w:rsidRPr="00900AF8">
        <w:t>Č</w:t>
      </w:r>
      <w:r w:rsidR="00666159" w:rsidRPr="00900AF8">
        <w:t>lánok</w:t>
      </w:r>
      <w:r w:rsidRPr="00900AF8">
        <w:t xml:space="preserve"> 3. </w:t>
      </w:r>
      <w:r w:rsidR="001E61BB" w:rsidRPr="00900AF8">
        <w:t>VEREJNÉ OBSTARÁVANIE SLUŽIEB, TOVAROV A PRÁC PRIJÍMATEĽOM</w:t>
      </w:r>
      <w:bookmarkEnd w:id="5"/>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54866FFD"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ŽoP podľa odseku 4 tohto článku VZP</w:t>
      </w:r>
      <w:r w:rsidR="001E61BB" w:rsidRPr="00B80593">
        <w:rPr>
          <w:rFonts w:ascii="Arial Narrow" w:hAnsi="Arial Narrow"/>
          <w:sz w:val="22"/>
          <w:szCs w:val="22"/>
          <w:lang w:val="sk-SK"/>
        </w:rPr>
        <w:t>.</w:t>
      </w:r>
    </w:p>
    <w:p w14:paraId="105DC616" w14:textId="32E00D7A"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 xml:space="preserve">(t.j.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6" w:name="_Toc137639146"/>
      <w:r w:rsidRPr="00900AF8">
        <w:lastRenderedPageBreak/>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6"/>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5A328DD6"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266949E7"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1459A2">
        <w:rPr>
          <w:rFonts w:ascii="Arial Narrow" w:eastAsia="Calibri" w:hAnsi="Arial Narrow" w:cs="Times New Roman"/>
          <w:sz w:val="22"/>
          <w:szCs w:val="22"/>
          <w:lang w:val="sk-SK" w:eastAsia="sk-SK"/>
        </w:rPr>
        <w:t>, najmä taká, ktorá je posudzovaná ako podvod, korupcia alebo konflikt záujmov</w:t>
      </w:r>
      <w:r w:rsidR="005F2572" w:rsidRPr="00900AF8">
        <w:rPr>
          <w:rFonts w:ascii="Arial Narrow" w:eastAsia="Calibri" w:hAnsi="Arial Narrow" w:cs="Times New Roman"/>
          <w:sz w:val="22"/>
          <w:szCs w:val="22"/>
          <w:lang w:val="sk-SK" w:eastAsia="sk-SK"/>
        </w:rPr>
        <w:t>,</w:t>
      </w:r>
    </w:p>
    <w:p w14:paraId="3FB806C2" w14:textId="41BAE0F7"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1459A2">
        <w:rPr>
          <w:rFonts w:ascii="Arial Narrow" w:eastAsia="Calibri" w:hAnsi="Arial Narrow" w:cs="Times New Roman"/>
          <w:sz w:val="22"/>
          <w:szCs w:val="22"/>
          <w:lang w:val="sk-SK" w:eastAsia="sk-SK"/>
        </w:rPr>
        <w:t xml:space="preserve"> a pojmom definovaným v čl. 1 VZP.</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rostriedkov mechanizmu v rámci podanej ŽoP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7" w:name="_Toc137639147"/>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7"/>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Prijímateľ ich predkladá spolu s predložením ŽoP,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r w:rsidRPr="00900AF8">
        <w:rPr>
          <w:rFonts w:ascii="Arial Narrow" w:eastAsia="Calibri" w:hAnsi="Arial Narrow" w:cs="Arial"/>
          <w:sz w:val="22"/>
          <w:szCs w:val="22"/>
          <w:lang w:val="sk-SK" w:eastAsia="en-US"/>
        </w:rPr>
        <w:t>ŽoP</w:t>
      </w:r>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w:t>
      </w:r>
      <w:r w:rsidR="005432A0" w:rsidRPr="00900AF8">
        <w:rPr>
          <w:rFonts w:ascii="Arial Narrow" w:eastAsia="Calibri" w:hAnsi="Arial Narrow" w:cs="Arial"/>
          <w:sz w:val="22"/>
          <w:szCs w:val="22"/>
          <w:lang w:val="sk-SK" w:eastAsia="en-US"/>
        </w:rPr>
        <w:lastRenderedPageBreak/>
        <w:t>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8"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8"/>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60CF65F" w14:textId="1976BEE5" w:rsidR="00E136A8" w:rsidRPr="00900AF8" w:rsidRDefault="001459A2" w:rsidP="001459A2">
      <w:pPr>
        <w:pStyle w:val="Odsekzoznamu"/>
        <w:numPr>
          <w:ilvl w:val="0"/>
          <w:numId w:val="9"/>
        </w:numPr>
        <w:spacing w:after="0" w:line="240" w:lineRule="auto"/>
        <w:ind w:left="567" w:hanging="567"/>
        <w:jc w:val="both"/>
        <w:rPr>
          <w:rFonts w:ascii="Arial Narrow" w:hAnsi="Arial Narrow"/>
          <w:lang w:val="sk-SK"/>
        </w:rPr>
      </w:pPr>
      <w:r w:rsidRPr="001459A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r w:rsidR="00897D46"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sidR="00897D46">
        <w:rPr>
          <w:rFonts w:ascii="Arial Narrow" w:hAnsi="Arial Narrow"/>
          <w:lang w:val="sk-SK"/>
        </w:rPr>
        <w:t>, podľa toho, ktorá skutočnosť nastane neskôr,</w:t>
      </w:r>
      <w:r w:rsidR="00897D46"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hmotne zachytiteľný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r w:rsidR="00360CA5" w:rsidRPr="00900AF8">
        <w:rPr>
          <w:rFonts w:ascii="Arial Narrow" w:hAnsi="Arial Narrow"/>
          <w:lang w:val="sk-SK"/>
        </w:rPr>
        <w:t>L</w:t>
      </w:r>
      <w:r w:rsidR="001864A2" w:rsidRPr="00900AF8">
        <w:rPr>
          <w:rFonts w:ascii="Arial Narrow" w:hAnsi="Arial Narrow"/>
          <w:lang w:val="sk-SK"/>
        </w:rPr>
        <w:t>ogomanuálu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FA40F5" w:rsidRPr="00224679">
        <w:rPr>
          <w:rFonts w:ascii="Arial Narrow" w:hAnsi="Arial Narrow"/>
          <w:lang w:val="sk-SK"/>
        </w:rPr>
        <w:t xml:space="preserve">„Financované Európskou úniou NextGenerationEU“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„Financované Európskou úniou NextGenerationEU</w:t>
      </w:r>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hmotne zachytiteľn</w:t>
      </w:r>
      <w:r w:rsidR="00490A0C" w:rsidRPr="00AB3CE8">
        <w:rPr>
          <w:rFonts w:ascii="Arial Narrow" w:hAnsi="Arial Narrow"/>
          <w:lang w:val="sk-SK"/>
        </w:rPr>
        <w:t>ý</w:t>
      </w:r>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3226B9A"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NextGenerationEU prostredníctvom Plánu obnovy a odolnosti SR v rámci projektu č. XXXXX“. </w:t>
      </w:r>
      <w:r w:rsidRPr="00147F8D">
        <w:rPr>
          <w:rFonts w:ascii="Arial Narrow" w:hAnsi="Arial Narrow"/>
          <w:lang w:val="sk-SK"/>
        </w:rPr>
        <w:lastRenderedPageBreak/>
        <w:t>Anglická verzia: „Funded by the EU NextGenerationEU through the Recovery and Resilience Plan for Slovakia under the project No. XXXXX.”</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9" w:name="_Toc137639149"/>
      <w:r w:rsidRPr="00900AF8">
        <w:t>Č</w:t>
      </w:r>
      <w:r w:rsidR="00666159" w:rsidRPr="00900AF8">
        <w:t>lánok</w:t>
      </w:r>
      <w:r w:rsidRPr="00900AF8">
        <w:t xml:space="preserve"> 7. VLASTNÍCTVO A</w:t>
      </w:r>
      <w:r w:rsidR="00410D6F" w:rsidRPr="00900AF8">
        <w:t> </w:t>
      </w:r>
      <w:r w:rsidRPr="00900AF8">
        <w:t>POUŽITIE VÝSTUPOV</w:t>
      </w:r>
      <w:bookmarkEnd w:id="9"/>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B0C16">
        <w:rPr>
          <w:rFonts w:ascii="Arial Narrow" w:eastAsia="Calibri" w:hAnsi="Arial Narrow" w:cs="Times New Roman"/>
          <w:bCs/>
          <w:sz w:val="22"/>
          <w:szCs w:val="22"/>
          <w:lang w:val="sk-SK" w:eastAsia="en-US"/>
        </w:rPr>
        <w:lastRenderedPageBreak/>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009B0C16">
        <w:rPr>
          <w:rFonts w:ascii="Arial Narrow" w:eastAsia="Calibri" w:hAnsi="Arial Narrow" w:cs="Times New Roman"/>
          <w:bCs/>
          <w:sz w:val="22"/>
          <w:szCs w:val="22"/>
          <w:lang w:val="sk-SK"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ne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minimis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pomoc de minimis</w:t>
      </w:r>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753B5CA6" w14:textId="03FDFCC2" w:rsidR="006639BF" w:rsidRPr="00900AF8" w:rsidRDefault="001459A2" w:rsidP="00221EE7">
      <w:pPr>
        <w:numPr>
          <w:ilvl w:val="0"/>
          <w:numId w:val="10"/>
        </w:numPr>
        <w:ind w:left="567" w:hanging="567"/>
        <w:jc w:val="both"/>
        <w:rPr>
          <w:rFonts w:ascii="Arial Narrow" w:eastAsia="Calibri" w:hAnsi="Arial Narrow" w:cs="Times New Roman"/>
          <w:sz w:val="22"/>
          <w:szCs w:val="22"/>
          <w:lang w:val="sk-SK" w:eastAsia="en-US"/>
        </w:rPr>
      </w:pPr>
      <w:r w:rsidRPr="001459A2">
        <w:rPr>
          <w:rFonts w:ascii="Arial Narrow" w:hAnsi="Arial Narrow" w:cs="Times New Roman"/>
          <w:lang w:val="sk-SK"/>
        </w:rPr>
        <w:t>Ak má byť Majetok nadobudnutý z Prostriedkov mechanizmu prenajatý alebo inak prenechaný inej osobe, musí tak Prijímateľ spraviť v súlade s pravidlami uplatniteľnými pre oblasť štátnej pomoci/pomoci de minimis.Pri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w:t>
      </w:r>
      <w:r w:rsidRPr="0043381A">
        <w:rPr>
          <w:rFonts w:ascii="Arial Narrow" w:hAnsi="Arial Narrow" w:cs="Times New Roman"/>
          <w:lang w:val="sk-SK"/>
        </w:rPr>
        <w:t xml:space="preserve"> za bežných trhových podmienok podľa pravidiel štátnej pomoci/pomoci de minimis., V prípade splnenia kumulatívnych podmienok definície štátnej pomoci v zmysle čl. 107 ZFEÚ, bude Prijímateľ povinný vrátiť alebo vymôcť vrátanie takto poskytnutej štátnej pomoci/pomoc de minimis spolu s úrokmi vo výške, v lehotách a spôsobom vyplývajúcim z Právneho rámca. Vykonávateľ zároveň môže žiadať vrát</w:t>
      </w:r>
      <w:r w:rsidRPr="0043381A">
        <w:rPr>
          <w:rFonts w:ascii="Arial Narrow" w:eastAsia="Calibri" w:hAnsi="Arial Narrow" w:cs="Times New Roman"/>
          <w:sz w:val="22"/>
          <w:szCs w:val="22"/>
          <w:lang w:val="sk-SK" w:eastAsia="en-US"/>
        </w:rPr>
        <w:t xml:space="preserve">enie Prostriedkov mechanizmu alebo ich časti dotknutej konaním alebo opomenutím Prijímateľa podľa predchádzajúcej vety v súlade s článkom 14 VZP. </w:t>
      </w:r>
      <w:r w:rsidR="001E61BB" w:rsidRPr="001459A2">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43381A">
        <w:rPr>
          <w:rFonts w:ascii="Arial Narrow" w:eastAsia="Calibri" w:hAnsi="Arial Narrow" w:cs="Times New Roman"/>
          <w:sz w:val="22"/>
          <w:szCs w:val="22"/>
          <w:lang w:val="sk-SK" w:eastAsia="en-US"/>
        </w:rPr>
        <w:t>/</w:t>
      </w:r>
      <w:r w:rsidR="001E61BB" w:rsidRPr="0043381A">
        <w:rPr>
          <w:rFonts w:ascii="Arial Narrow" w:eastAsia="Calibri" w:hAnsi="Arial Narrow" w:cs="Times New Roman"/>
          <w:sz w:val="22"/>
          <w:szCs w:val="22"/>
          <w:lang w:val="sk-SK" w:eastAsia="en-US"/>
        </w:rPr>
        <w:t>alebo v súvislosti s Realizáciou Projektu</w:t>
      </w:r>
      <w:r w:rsidR="00076D37" w:rsidRPr="0043381A">
        <w:rPr>
          <w:rFonts w:ascii="Arial Narrow" w:eastAsia="Calibri" w:hAnsi="Arial Narrow" w:cs="Times New Roman"/>
          <w:sz w:val="22"/>
          <w:szCs w:val="22"/>
          <w:lang w:val="sk-SK" w:eastAsia="en-US"/>
        </w:rPr>
        <w:t xml:space="preserve"> na účely vyplývajúce z Právneho rámca</w:t>
      </w:r>
      <w:r w:rsidR="001E61BB" w:rsidRPr="0043381A">
        <w:rPr>
          <w:rFonts w:ascii="Arial Narrow" w:eastAsia="Calibri" w:hAnsi="Arial Narrow" w:cs="Times New Roman"/>
          <w:sz w:val="22"/>
          <w:szCs w:val="22"/>
          <w:lang w:val="sk-SK" w:eastAsia="en-US"/>
        </w:rPr>
        <w:t>, a týmto zároveň udeľuje Vykonávateľovi</w:t>
      </w:r>
      <w:r w:rsidR="001E61BB" w:rsidRPr="00900AF8">
        <w:rPr>
          <w:rFonts w:ascii="Arial Narrow" w:eastAsia="Calibri" w:hAnsi="Arial Narrow" w:cs="Times New Roman"/>
          <w:sz w:val="22"/>
          <w:szCs w:val="22"/>
          <w:lang w:val="sk-SK" w:eastAsia="en-US"/>
        </w:rPr>
        <w:t xml:space="preserve">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001E61BB"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001E61BB"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001E61BB"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Default="0049082D" w:rsidP="00A022A6">
      <w:pPr>
        <w:pStyle w:val="Nadpis2"/>
      </w:pPr>
    </w:p>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10" w:name="_Toc137639150"/>
      <w:r w:rsidRPr="00900AF8">
        <w:t>Č</w:t>
      </w:r>
      <w:r w:rsidR="00666159" w:rsidRPr="00900AF8">
        <w:t>lánok</w:t>
      </w:r>
      <w:r w:rsidRPr="00900AF8">
        <w:t xml:space="preserve"> 8. </w:t>
      </w:r>
      <w:r w:rsidR="001E61BB" w:rsidRPr="00900AF8">
        <w:t>PREVOD A PRECHOD PRÁV A POVINNOSTÍ</w:t>
      </w:r>
      <w:bookmarkEnd w:id="10"/>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2FF14C7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xml:space="preserve"> prípade, ak na základe právnych predpisov SR prechádza výkon akýchkoľvek práv a povinností zo Zmluvy alebo iných zmlúv uzavretých medzi Vykonávateľom a Prijímateľom na základe Zmluvy (najmä zmluvy </w:t>
      </w:r>
      <w:r w:rsidRPr="00900AF8">
        <w:rPr>
          <w:rFonts w:ascii="Arial Narrow" w:eastAsia="Times New Roman" w:hAnsi="Arial Narrow" w:cs="Times New Roman"/>
          <w:sz w:val="22"/>
          <w:szCs w:val="22"/>
          <w:lang w:val="sk-SK" w:eastAsia="sk-SK"/>
        </w:rPr>
        <w:lastRenderedPageBreak/>
        <w:t>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570FA150" w14:textId="77777777" w:rsidR="001459A2" w:rsidRDefault="001459A2" w:rsidP="001459A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1" w:name="_Toc137639151"/>
      <w:r w:rsidRPr="00900AF8">
        <w:t>Č</w:t>
      </w:r>
      <w:r w:rsidR="00666159" w:rsidRPr="00900AF8">
        <w:t>lánok</w:t>
      </w:r>
      <w:r w:rsidRPr="00900AF8">
        <w:t xml:space="preserve"> 9. </w:t>
      </w:r>
      <w:r w:rsidR="00172A41" w:rsidRPr="00900AF8">
        <w:t>REALIZÁCIA PROJEKTU</w:t>
      </w:r>
      <w:bookmarkEnd w:id="11"/>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ŽoP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ŽoP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Výdavky realizované Prijímateľom počas obdobia pozastavenia Realizácie Projektu sa </w:t>
      </w:r>
      <w:r w:rsidR="005322E7">
        <w:rPr>
          <w:rFonts w:ascii="Arial Narrow" w:eastAsia="Calibri" w:hAnsi="Arial Narrow" w:cs="Times New Roman"/>
          <w:bCs/>
          <w:sz w:val="22"/>
          <w:szCs w:val="22"/>
          <w:lang w:val="sk-SK" w:eastAsia="en-US"/>
        </w:rPr>
        <w:t>nepovažujú</w:t>
      </w:r>
      <w:r w:rsidRPr="00900AF8">
        <w:rPr>
          <w:rFonts w:ascii="Arial Narrow" w:eastAsia="Calibri" w:hAnsi="Arial Narrow" w:cs="Times New Roman"/>
          <w:bCs/>
          <w:sz w:val="22"/>
          <w:szCs w:val="22"/>
          <w:lang w:val="sk-SK" w:eastAsia="en-US"/>
        </w:rPr>
        <w:t xml:space="preserve"> za oprávnené výdavky</w:t>
      </w:r>
      <w:r w:rsidR="004169CB"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To neplatí pre výdavky realizované Prijímateľom</w:t>
      </w:r>
      <w:r w:rsidR="00BA22A9">
        <w:rPr>
          <w:rFonts w:ascii="Arial Narrow" w:eastAsia="Calibri" w:hAnsi="Arial Narrow" w:cs="Times New Roman"/>
          <w:bCs/>
          <w:sz w:val="22"/>
          <w:szCs w:val="22"/>
          <w:lang w:val="sk-SK" w:eastAsia="en-US"/>
        </w:rPr>
        <w:t xml:space="preserve"> vyplývajúce z Aktivít neuvedených v oznámení</w:t>
      </w:r>
      <w:r w:rsidRPr="00900AF8">
        <w:rPr>
          <w:rFonts w:ascii="Arial Narrow" w:eastAsia="Calibri" w:hAnsi="Arial Narrow" w:cs="Times New Roman"/>
          <w:bCs/>
          <w:sz w:val="22"/>
          <w:szCs w:val="22"/>
          <w:lang w:val="sk-SK" w:eastAsia="en-US"/>
        </w:rPr>
        <w:t xml:space="preserve"> </w:t>
      </w:r>
      <w:r w:rsidR="00BA22A9">
        <w:rPr>
          <w:rFonts w:ascii="Arial Narrow" w:eastAsia="Calibri" w:hAnsi="Arial Narrow" w:cs="Times New Roman"/>
          <w:bCs/>
          <w:sz w:val="22"/>
          <w:szCs w:val="22"/>
          <w:lang w:val="sk-SK" w:eastAsia="en-US"/>
        </w:rPr>
        <w:t>Vykonávateľa</w:t>
      </w:r>
      <w:r w:rsidR="00297C4F" w:rsidRPr="00900AF8">
        <w:rPr>
          <w:rFonts w:ascii="Arial Narrow" w:eastAsia="Calibri" w:hAnsi="Arial Narrow" w:cs="Times New Roman"/>
          <w:bCs/>
          <w:sz w:val="22"/>
          <w:szCs w:val="22"/>
          <w:lang w:val="sk-SK" w:eastAsia="en-US"/>
        </w:rPr>
        <w:t xml:space="preserve"> </w:t>
      </w:r>
      <w:r w:rsidR="00346F9A" w:rsidRPr="00900AF8">
        <w:rPr>
          <w:rFonts w:ascii="Arial Narrow" w:eastAsia="Calibri" w:hAnsi="Arial Narrow" w:cs="Times New Roman"/>
          <w:bCs/>
          <w:sz w:val="22"/>
          <w:szCs w:val="22"/>
          <w:lang w:val="sk-SK" w:eastAsia="en-US"/>
        </w:rPr>
        <w:t>podľa odseku 8</w:t>
      </w:r>
      <w:r w:rsidR="005A1B18">
        <w:rPr>
          <w:rFonts w:ascii="Arial Narrow" w:eastAsia="Calibri" w:hAnsi="Arial Narrow" w:cs="Times New Roman"/>
          <w:bCs/>
          <w:sz w:val="22"/>
          <w:szCs w:val="22"/>
          <w:lang w:val="sk-SK" w:eastAsia="en-US"/>
        </w:rPr>
        <w:t xml:space="preserve"> tohto článku VZP</w:t>
      </w:r>
      <w:r w:rsidR="00712C1E" w:rsidRPr="00900AF8">
        <w:rPr>
          <w:rFonts w:ascii="Arial Narrow" w:eastAsia="Calibri" w:hAnsi="Arial Narrow" w:cs="Times New Roman"/>
          <w:bCs/>
          <w:sz w:val="22"/>
          <w:szCs w:val="22"/>
          <w:lang w:val="sk-SK" w:eastAsia="en-US"/>
        </w:rPr>
        <w:t>,</w:t>
      </w:r>
      <w:r w:rsidR="00BA22A9">
        <w:rPr>
          <w:rFonts w:ascii="Arial Narrow" w:eastAsia="Calibri" w:hAnsi="Arial Narrow" w:cs="Times New Roman"/>
          <w:bCs/>
          <w:sz w:val="22"/>
          <w:szCs w:val="22"/>
          <w:lang w:val="sk-SK" w:eastAsia="en-US"/>
        </w:rPr>
        <w:t xml:space="preserve"> alebo ak tak určí </w:t>
      </w:r>
      <w:r w:rsidR="00A12006" w:rsidRPr="00900AF8">
        <w:rPr>
          <w:rFonts w:ascii="Arial Narrow" w:eastAsia="Calibri" w:hAnsi="Arial Narrow" w:cs="Times New Roman"/>
          <w:bCs/>
          <w:sz w:val="22"/>
          <w:szCs w:val="22"/>
          <w:lang w:val="sk-SK" w:eastAsia="en-US"/>
        </w:rPr>
        <w:t>Vykonávateľ</w:t>
      </w:r>
      <w:r w:rsidRPr="00900AF8">
        <w:rPr>
          <w:rFonts w:ascii="Arial Narrow" w:eastAsia="Calibri" w:hAnsi="Arial Narrow" w:cs="Times New Roman"/>
          <w:bCs/>
          <w:sz w:val="22"/>
          <w:szCs w:val="22"/>
          <w:lang w:val="sk-SK"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w:t>
      </w:r>
      <w:r w:rsidRPr="00900AF8">
        <w:rPr>
          <w:rFonts w:ascii="Arial Narrow" w:eastAsia="Calibri" w:hAnsi="Arial Narrow" w:cs="Times New Roman"/>
          <w:bCs/>
          <w:sz w:val="22"/>
          <w:szCs w:val="22"/>
          <w:lang w:val="sk-SK" w:eastAsia="en-US"/>
        </w:rPr>
        <w:lastRenderedPageBreak/>
        <w:t xml:space="preserve">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2" w:name="_Toc137639152"/>
      <w:r w:rsidRPr="00900AF8">
        <w:t>Č</w:t>
      </w:r>
      <w:r w:rsidR="00666159" w:rsidRPr="00900AF8">
        <w:t>lánok</w:t>
      </w:r>
      <w:r w:rsidRPr="00900AF8">
        <w:t xml:space="preserve"> 10. </w:t>
      </w:r>
      <w:r w:rsidR="00581B4A" w:rsidRPr="00900AF8">
        <w:t>ZMENA ZMLUVY</w:t>
      </w:r>
      <w:bookmarkEnd w:id="12"/>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lastRenderedPageBreak/>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268D07C0"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Pr>
          <w:rFonts w:ascii="Arial Narrow" w:eastAsia="Calibri" w:hAnsi="Arial Narrow" w:cs="Times New Roman"/>
          <w:sz w:val="22"/>
          <w:szCs w:val="22"/>
          <w:highlight w:val="yellow"/>
          <w:lang w:val="sk-SK" w:eastAsia="sk-SK"/>
        </w:rPr>
        <w:t>20</w:t>
      </w:r>
      <w:r w:rsidR="00921A26"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Pr="00CB07E5">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6D2A9F2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viac ako </w:t>
      </w:r>
      <w:r w:rsidR="00921A26">
        <w:rPr>
          <w:rFonts w:ascii="Arial Narrow" w:eastAsia="Calibri" w:hAnsi="Arial Narrow" w:cs="Times New Roman"/>
          <w:sz w:val="22"/>
          <w:szCs w:val="22"/>
          <w:highlight w:val="yellow"/>
          <w:lang w:val="sk-SK" w:eastAsia="sk-SK"/>
        </w:rPr>
        <w:t>20</w:t>
      </w:r>
      <w:r w:rsidR="00921A26">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 oproti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bod iii.</w:t>
      </w:r>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/pomoci de 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Zmluve, </w:t>
      </w:r>
      <w:r w:rsidRPr="009D7C09">
        <w:rPr>
          <w:rFonts w:ascii="Arial Narrow" w:eastAsia="Calibri" w:hAnsi="Arial Narrow" w:cs="Times New Roman"/>
          <w:sz w:val="22"/>
          <w:szCs w:val="22"/>
          <w:lang w:val="sk-SK" w:eastAsia="sk-SK"/>
        </w:rPr>
        <w:lastRenderedPageBreak/>
        <w:t>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ŽoP.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neschváli ŽoP</w:t>
      </w:r>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6E68399D"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 xml:space="preserve">v deň, kedy </w:t>
      </w:r>
      <w:r w:rsidR="001459A2">
        <w:rPr>
          <w:rFonts w:ascii="Arial Narrow" w:eastAsia="Calibri" w:hAnsi="Arial Narrow" w:cs="Times New Roman"/>
          <w:sz w:val="22"/>
          <w:szCs w:val="22"/>
          <w:lang w:val="sk-SK" w:eastAsia="sk-SK"/>
        </w:rPr>
        <w:t xml:space="preserve">Prijímateľ predmetnú zmenu Projektu oznámil Vykonávateľovi podľa ods. 14 tohto článku VZP/v deň, kedy </w:t>
      </w:r>
      <w:r w:rsidR="00854834" w:rsidRPr="007E4B0A">
        <w:rPr>
          <w:rFonts w:ascii="Arial Narrow" w:eastAsia="Calibri" w:hAnsi="Arial Narrow" w:cs="Times New Roman"/>
          <w:sz w:val="22"/>
          <w:szCs w:val="22"/>
          <w:lang w:val="sk-SK" w:eastAsia="sk-SK"/>
        </w:rPr>
        <w:t>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13"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3"/>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xml:space="preserve">. Zmluvné strany sa dohodli, že pre odstúpenie </w:t>
      </w:r>
      <w:r w:rsidRPr="00900AF8">
        <w:rPr>
          <w:rFonts w:ascii="Arial Narrow" w:eastAsia="Times New Roman" w:hAnsi="Arial Narrow" w:cs="Times New Roman"/>
          <w:bCs/>
          <w:lang w:val="sk-SK" w:eastAsia="sk-SK"/>
        </w:rPr>
        <w:lastRenderedPageBreak/>
        <w:t>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ŽoP – zúčtovanie predfinancovania alebo ŽoP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lastRenderedPageBreak/>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29222EEA" w14:textId="77777777" w:rsidR="0043381A" w:rsidRPr="0043381A"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5392312B" w:rsidR="00073BE8" w:rsidRPr="00900AF8" w:rsidRDefault="0043381A" w:rsidP="0043381A">
      <w:pPr>
        <w:numPr>
          <w:ilvl w:val="2"/>
          <w:numId w:val="33"/>
        </w:numPr>
        <w:jc w:val="both"/>
        <w:rPr>
          <w:rFonts w:ascii="Arial Narrow" w:eastAsia="Calibri" w:hAnsi="Arial Narrow" w:cs="Times New Roman"/>
          <w:bCs/>
          <w:sz w:val="22"/>
          <w:lang w:val="sk-SK"/>
        </w:rPr>
      </w:pPr>
      <w:r w:rsidRPr="0043381A">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/pomoci de minimis</w:t>
      </w:r>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49FA98A5" w14:textId="77777777" w:rsidR="006639BF" w:rsidRPr="00900AF8" w:rsidRDefault="001E61BB" w:rsidP="00A022A6">
      <w:pPr>
        <w:pStyle w:val="Nadpis2"/>
      </w:pPr>
      <w:bookmarkStart w:id="14" w:name="_Toc137639154"/>
      <w:r w:rsidRPr="00900AF8">
        <w:lastRenderedPageBreak/>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4"/>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ii.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r w:rsidR="00B4120E">
        <w:rPr>
          <w:rFonts w:ascii="Arial Narrow" w:eastAsia="Times New Roman" w:hAnsi="Arial Narrow" w:cs="Calibri"/>
          <w:sz w:val="22"/>
          <w:lang w:val="sk-SK" w:eastAsia="sk-SK"/>
        </w:rPr>
        <w:t>ii. až iv.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1D8B3F2C" w:rsidR="0081471D" w:rsidRPr="00900AF8" w:rsidRDefault="00DF090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w:t>
      </w:r>
      <w:r w:rsidR="007170D2" w:rsidRPr="00900AF8">
        <w:rPr>
          <w:rFonts w:ascii="Arial Narrow" w:eastAsia="Times New Roman" w:hAnsi="Arial Narrow" w:cs="Calibri"/>
          <w:sz w:val="22"/>
          <w:lang w:val="sk-SK" w:eastAsia="sk-SK"/>
        </w:rPr>
        <w:t xml:space="preserve"> musí byť záložným veriteľom prvým v poradí (t.j. ako prednostný záložný veriteľ)</w:t>
      </w:r>
      <w:r w:rsidR="00955288" w:rsidRPr="00900AF8">
        <w:rPr>
          <w:rFonts w:ascii="Arial Narrow" w:eastAsia="Times New Roman" w:hAnsi="Arial Narrow" w:cs="Calibri"/>
          <w:sz w:val="22"/>
          <w:lang w:val="sk-SK" w:eastAsia="sk-SK"/>
        </w:rPr>
        <w:t xml:space="preserve">, ak Vykonávateľ </w:t>
      </w:r>
      <w:r w:rsidR="003329FB">
        <w:rPr>
          <w:rFonts w:ascii="Arial Narrow" w:eastAsia="Times New Roman" w:hAnsi="Arial Narrow" w:cs="Calibri"/>
          <w:sz w:val="22"/>
          <w:lang w:val="sk-SK" w:eastAsia="sk-SK"/>
        </w:rPr>
        <w:t>neudelí výslovný</w:t>
      </w:r>
      <w:r w:rsidR="003329FB" w:rsidRPr="00900AF8">
        <w:rPr>
          <w:rFonts w:ascii="Arial Narrow" w:eastAsia="Times New Roman" w:hAnsi="Arial Narrow" w:cs="Calibri"/>
          <w:sz w:val="22"/>
          <w:lang w:val="sk-SK" w:eastAsia="sk-SK"/>
        </w:rPr>
        <w:t xml:space="preserve"> </w:t>
      </w:r>
      <w:r w:rsidR="003329FB">
        <w:rPr>
          <w:rFonts w:ascii="Arial Narrow" w:eastAsia="Times New Roman" w:hAnsi="Arial Narrow" w:cs="Calibri"/>
          <w:sz w:val="22"/>
          <w:lang w:val="sk-SK" w:eastAsia="sk-SK"/>
        </w:rPr>
        <w:t>súhlas</w:t>
      </w:r>
      <w:r w:rsidR="00955288" w:rsidRPr="00900AF8">
        <w:rPr>
          <w:rFonts w:ascii="Arial Narrow" w:eastAsia="Times New Roman" w:hAnsi="Arial Narrow" w:cs="Calibri"/>
          <w:sz w:val="22"/>
          <w:lang w:val="sk-SK" w:eastAsia="sk-SK"/>
        </w:rPr>
        <w:t xml:space="preserve"> so zriadením záložného práva aj v prípade, že Vykonávateľ nebude predno</w:t>
      </w:r>
      <w:r w:rsidR="009E2816" w:rsidRPr="00900AF8">
        <w:rPr>
          <w:rFonts w:ascii="Arial Narrow" w:eastAsia="Times New Roman" w:hAnsi="Arial Narrow" w:cs="Calibri"/>
          <w:sz w:val="22"/>
          <w:lang w:val="sk-SK" w:eastAsia="sk-SK"/>
        </w:rPr>
        <w:t>s</w:t>
      </w:r>
      <w:r w:rsidR="00955288" w:rsidRPr="00900AF8">
        <w:rPr>
          <w:rFonts w:ascii="Arial Narrow" w:eastAsia="Times New Roman" w:hAnsi="Arial Narrow" w:cs="Calibri"/>
          <w:sz w:val="22"/>
          <w:lang w:val="sk-SK" w:eastAsia="sk-SK"/>
        </w:rPr>
        <w:t>tným záložným veriteľom</w:t>
      </w:r>
      <w:r w:rsidR="007170D2" w:rsidRPr="00900AF8">
        <w:rPr>
          <w:rFonts w:ascii="Arial Narrow" w:eastAsia="Times New Roman" w:hAnsi="Arial Narrow" w:cs="Calibri"/>
          <w:sz w:val="22"/>
          <w:lang w:val="sk-SK"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lastRenderedPageBreak/>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5"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5"/>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6"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6"/>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xml:space="preserve">, najmä zákonom </w:t>
      </w:r>
      <w:r w:rsidR="0032170C" w:rsidRPr="00CA78AA">
        <w:rPr>
          <w:rFonts w:ascii="Arial Narrow" w:eastAsia="Times New Roman" w:hAnsi="Arial Narrow" w:cs="Times New Roman"/>
          <w:sz w:val="22"/>
          <w:szCs w:val="22"/>
          <w:lang w:val="sk-SK" w:eastAsia="sk-SK"/>
        </w:rPr>
        <w:lastRenderedPageBreak/>
        <w:t>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7"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7"/>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 xml:space="preserve">echanizmu (ďalej len </w:t>
      </w:r>
      <w:r w:rsidR="00056956" w:rsidRPr="00900AF8">
        <w:rPr>
          <w:rFonts w:ascii="Arial Narrow" w:eastAsia="Calibri" w:hAnsi="Arial Narrow" w:cs="Times New Roman"/>
          <w:sz w:val="22"/>
          <w:szCs w:val="22"/>
          <w:lang w:val="sk-SK" w:eastAsia="sk-SK"/>
        </w:rPr>
        <w:lastRenderedPageBreak/>
        <w:t>,,výnos“)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uvedené platí len v prípade zálohovej platby a/alebo predfinancovania</w:t>
      </w:r>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nevysporiadané.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8" w:name="_Toc137639157"/>
      <w:r w:rsidRPr="00E10EA7">
        <w:lastRenderedPageBreak/>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8"/>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ŽoP,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ŽoP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ŽoP </w:t>
      </w:r>
      <w:r w:rsidRPr="00115F00">
        <w:rPr>
          <w:rFonts w:ascii="Arial Narrow" w:eastAsia="Calibri" w:hAnsi="Arial Narrow" w:cs="Times New Roman"/>
          <w:sz w:val="22"/>
          <w:szCs w:val="22"/>
          <w:lang w:val="sk-SK" w:eastAsia="sk-SK"/>
        </w:rPr>
        <w:t>(</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predfinancovania, </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zálohovej platby alebo </w:t>
      </w:r>
      <w:r w:rsidR="0053110C" w:rsidRPr="0053110C">
        <w:rPr>
          <w:rFonts w:ascii="Arial Narrow" w:eastAsia="Calibri" w:hAnsi="Arial Narrow" w:cs="Times New Roman"/>
          <w:sz w:val="22"/>
          <w:szCs w:val="22"/>
          <w:lang w:val="sk-SK" w:eastAsia="sk-SK"/>
        </w:rPr>
        <w:t>ŽoP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na účely ŽoP</w:t>
      </w:r>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ýmto kurzom na EUR zahrnie Prijímateľ do ŽoP (</w:t>
      </w:r>
      <w:r w:rsidR="0053110C" w:rsidRPr="0053110C">
        <w:rPr>
          <w:rFonts w:ascii="Arial Narrow" w:eastAsia="Calibri" w:hAnsi="Arial Narrow" w:cs="Times New Roman"/>
          <w:sz w:val="22"/>
          <w:szCs w:val="22"/>
          <w:lang w:val="sk-SK" w:eastAsia="sk-SK"/>
        </w:rPr>
        <w:t>ŽoP - zúčtovanie predfinancovania, ŽoP - zúčtovanie zálohovej platby alebo ŽoP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v predloženej </w:t>
      </w:r>
      <w:r w:rsidRPr="0053110C">
        <w:rPr>
          <w:rFonts w:ascii="Arial Narrow" w:eastAsia="Calibri" w:hAnsi="Arial Narrow" w:cs="Times New Roman"/>
          <w:sz w:val="22"/>
          <w:szCs w:val="22"/>
          <w:lang w:val="sk-SK" w:eastAsia="sk-SK"/>
        </w:rPr>
        <w:t xml:space="preserve">ŽoP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skytnutie predfinancovania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ŽoP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r w:rsidRPr="00900AF8">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ŽoP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9"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9"/>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77777777"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123BA0" w:rsidRPr="00900AF8">
        <w:rPr>
          <w:rFonts w:ascii="Arial Narrow" w:hAnsi="Arial Narrow"/>
          <w:sz w:val="22"/>
          <w:szCs w:val="22"/>
          <w:lang w:val="sk-SK"/>
        </w:rPr>
        <w:t>P</w:t>
      </w:r>
      <w:r w:rsidRPr="00900AF8">
        <w:rPr>
          <w:rFonts w:ascii="Arial Narrow" w:hAnsi="Arial Narrow"/>
          <w:sz w:val="22"/>
          <w:szCs w:val="22"/>
          <w:lang w:val="sk-SK"/>
        </w:rPr>
        <w:t xml:space="preserve">rílohe č. 2 Opis Projektu.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77777777" w:rsidR="00E832F3" w:rsidRDefault="00E832F3"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20"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20"/>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r w:rsidR="0037621C" w:rsidRPr="0037621C">
        <w:rPr>
          <w:rFonts w:ascii="Arial Narrow" w:hAnsi="Arial Narrow"/>
          <w:sz w:val="22"/>
          <w:szCs w:val="22"/>
          <w:lang w:val="sk-SK"/>
        </w:rPr>
        <w:t xml:space="preserve">predfinancovania,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6E85149D"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edkladať samostatnú ŽoP, t.j.</w:t>
      </w:r>
      <w:r w:rsidRPr="001069B5">
        <w:rPr>
          <w:rFonts w:ascii="Arial Narrow" w:hAnsi="Arial Narrow"/>
          <w:sz w:val="22"/>
          <w:szCs w:val="22"/>
          <w:lang w:val="sk-SK"/>
        </w:rPr>
        <w:t xml:space="preserve"> Prijímateľ nemôže v rámci jednej ŽoP vykazovať výdavky financované viacerými systémami. </w:t>
      </w:r>
    </w:p>
    <w:p w14:paraId="47C6FCFE" w14:textId="47002ECB"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r w:rsidRPr="00900AF8">
        <w:rPr>
          <w:rFonts w:ascii="Arial Narrow" w:hAnsi="Arial Narrow"/>
          <w:sz w:val="22"/>
          <w:szCs w:val="22"/>
          <w:lang w:val="sk-SK"/>
        </w:rPr>
        <w:t xml:space="preserve">ŽoP z technických dôvodov na strane Vykonávateľa, a to maximálne vo výške 0,01%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1" w:name="_Toc137639160"/>
      <w:r w:rsidRPr="004E790B">
        <w:t>Článok 17a. Systém predfinancovania</w:t>
      </w:r>
      <w:bookmarkEnd w:id="21"/>
    </w:p>
    <w:p w14:paraId="304E816F" w14:textId="77777777" w:rsidR="006639BF" w:rsidRPr="00900AF8" w:rsidRDefault="006639BF">
      <w:pPr>
        <w:jc w:val="center"/>
        <w:rPr>
          <w:rFonts w:ascii="Arial Narrow" w:hAnsi="Arial Narrow"/>
          <w:b/>
          <w:caps/>
          <w:color w:val="1F3864"/>
          <w:sz w:val="22"/>
          <w:szCs w:val="22"/>
          <w:lang w:val="sk-SK" w:eastAsia="sk-SK"/>
        </w:rPr>
      </w:pPr>
    </w:p>
    <w:p w14:paraId="4DDD8A62" w14:textId="1BF9CB88" w:rsidR="00147F8D" w:rsidRDefault="0043381A"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2" w:name="_Toc137639161"/>
      <w:r w:rsidRPr="008E7CF3">
        <w:t>Článok 17b. Systém zálohových platieb</w:t>
      </w:r>
      <w:bookmarkEnd w:id="22"/>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ŽoP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ŽoP – zúčtovanie zálohovej platby. Prijímateľ v rámci </w:t>
      </w:r>
      <w:r w:rsidRPr="00A8585D">
        <w:rPr>
          <w:rFonts w:ascii="Arial Narrow" w:hAnsi="Arial Narrow"/>
          <w:lang w:val="sk-SK"/>
        </w:rPr>
        <w:t xml:space="preserve">ŽoP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predkladá ŽoP</w:t>
      </w:r>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ŽoP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určí Vykonávateľ v Záväznej dokumentácii. Doklady potvrdzujúce skutočnú úhradu výdavkov deklarovaných v ŽoP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Jednu zálohovú platbu možno zúčtovať predložením viacerých ŽoP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w:t>
      </w:r>
      <w:r w:rsidRPr="00900AF8">
        <w:rPr>
          <w:rFonts w:ascii="Arial Narrow" w:hAnsi="Arial Narrow"/>
          <w:lang w:val="sk-SK"/>
        </w:rPr>
        <w:lastRenderedPageBreak/>
        <w:t>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ŽoP – zúčtovanie zálohovej platby (alebo viaceré ŽoP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ŽoP – zúčtovanie zálohovej platby identifikoval neoprávnené výdavky pred uplynutím príslušnej 12-mesačnej lehoty na zúčtovanie, Prijímateľ môže takto identifikovanú nezúčtovanú sumu zúčtovať predložením ďalšej ŽoP</w:t>
      </w:r>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ŽoP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3" w:name="_Toc137639162"/>
      <w:r w:rsidRPr="008E7CF3">
        <w:t>Článok 17c. Systém refundácie</w:t>
      </w:r>
      <w:bookmarkEnd w:id="23"/>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Prijímateľ berie na vedomie, že Vykonávateľ je povinný vykonať kontrolu Ž</w:t>
      </w:r>
      <w:r w:rsidR="00720D35" w:rsidRPr="00900AF8">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00720D35" w:rsidRPr="00900AF8">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B7432">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701"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AA46E" w16cid:durableId="2885F56F"/>
  <w16cid:commentId w16cid:paraId="4679AA9C" w16cid:durableId="2885F5C4"/>
  <w16cid:commentId w16cid:paraId="64E730C3" w16cid:durableId="2885F601"/>
  <w16cid:commentId w16cid:paraId="44F7515D" w16cid:durableId="2885F670"/>
  <w16cid:commentId w16cid:paraId="2CCCE121" w16cid:durableId="2885F78C"/>
  <w16cid:commentId w16cid:paraId="52559E37" w16cid:durableId="288602A4"/>
  <w16cid:commentId w16cid:paraId="57813AB2" w16cid:durableId="2886044A"/>
  <w16cid:commentId w16cid:paraId="44FDF4F2" w16cid:durableId="288604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03DA" w14:textId="77777777" w:rsidR="00420958" w:rsidRDefault="00420958" w:rsidP="007F765E">
      <w:r>
        <w:separator/>
      </w:r>
    </w:p>
  </w:endnote>
  <w:endnote w:type="continuationSeparator" w:id="0">
    <w:p w14:paraId="6DCF43BE" w14:textId="77777777" w:rsidR="00420958" w:rsidRDefault="00420958" w:rsidP="007F765E">
      <w:r>
        <w:continuationSeparator/>
      </w:r>
    </w:p>
  </w:endnote>
  <w:endnote w:type="continuationNotice" w:id="1">
    <w:p w14:paraId="58244BDA" w14:textId="77777777" w:rsidR="00420958" w:rsidRDefault="00420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B8EF" w14:textId="77777777" w:rsidR="001459A2" w:rsidRDefault="001459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2DB901BD" w14:textId="257CFB6F" w:rsidR="001459A2" w:rsidRPr="007F765E" w:rsidRDefault="001459A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25669A" w:rsidRPr="0025669A">
          <w:rPr>
            <w:rFonts w:ascii="Arial Narrow" w:hAnsi="Arial Narrow"/>
            <w:noProof/>
            <w:sz w:val="22"/>
            <w:lang w:val="sk-SK"/>
          </w:rPr>
          <w:t>21</w:t>
        </w:r>
        <w:r w:rsidRPr="007F765E">
          <w:rPr>
            <w:rFonts w:ascii="Arial Narrow" w:hAnsi="Arial Narrow"/>
            <w:sz w:val="22"/>
          </w:rPr>
          <w:fldChar w:fldCharType="end"/>
        </w:r>
      </w:p>
    </w:sdtContent>
  </w:sdt>
  <w:p w14:paraId="2D847DBD" w14:textId="77777777" w:rsidR="001459A2" w:rsidRDefault="001459A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671B" w14:textId="77777777" w:rsidR="001459A2" w:rsidRDefault="001459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4E64" w14:textId="77777777" w:rsidR="00420958" w:rsidRDefault="00420958" w:rsidP="007F765E">
      <w:r>
        <w:separator/>
      </w:r>
    </w:p>
  </w:footnote>
  <w:footnote w:type="continuationSeparator" w:id="0">
    <w:p w14:paraId="6D60B03B" w14:textId="77777777" w:rsidR="00420958" w:rsidRDefault="00420958" w:rsidP="007F765E">
      <w:r>
        <w:continuationSeparator/>
      </w:r>
    </w:p>
  </w:footnote>
  <w:footnote w:type="continuationNotice" w:id="1">
    <w:p w14:paraId="4331A607" w14:textId="77777777" w:rsidR="00420958" w:rsidRDefault="004209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723" w14:textId="77777777" w:rsidR="001459A2" w:rsidRDefault="001459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A8E2" w14:textId="77777777" w:rsidR="001459A2" w:rsidRDefault="001459A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2423" w14:textId="77777777" w:rsidR="001459A2" w:rsidRDefault="001459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CFD5AF3"/>
    <w:multiLevelType w:val="hybridMultilevel"/>
    <w:tmpl w:val="C41CE670"/>
    <w:lvl w:ilvl="0" w:tplc="0A0A8B44">
      <w:start w:val="1"/>
      <w:numFmt w:val="decimal"/>
      <w:lvlText w:val="%1."/>
      <w:lvlJc w:val="left"/>
      <w:pPr>
        <w:ind w:left="720" w:hanging="360"/>
      </w:pPr>
    </w:lvl>
    <w:lvl w:ilvl="1" w:tplc="1956447A">
      <w:start w:val="1"/>
      <w:numFmt w:val="decimal"/>
      <w:lvlText w:val="%2."/>
      <w:lvlJc w:val="left"/>
      <w:pPr>
        <w:ind w:left="720" w:hanging="360"/>
      </w:pPr>
    </w:lvl>
    <w:lvl w:ilvl="2" w:tplc="5E847A72">
      <w:start w:val="1"/>
      <w:numFmt w:val="decimal"/>
      <w:lvlText w:val="%3."/>
      <w:lvlJc w:val="left"/>
      <w:pPr>
        <w:ind w:left="720" w:hanging="360"/>
      </w:pPr>
    </w:lvl>
    <w:lvl w:ilvl="3" w:tplc="EC48452C">
      <w:start w:val="1"/>
      <w:numFmt w:val="decimal"/>
      <w:lvlText w:val="%4."/>
      <w:lvlJc w:val="left"/>
      <w:pPr>
        <w:ind w:left="720" w:hanging="360"/>
      </w:pPr>
    </w:lvl>
    <w:lvl w:ilvl="4" w:tplc="12BAA9EA">
      <w:start w:val="1"/>
      <w:numFmt w:val="decimal"/>
      <w:lvlText w:val="%5."/>
      <w:lvlJc w:val="left"/>
      <w:pPr>
        <w:ind w:left="720" w:hanging="360"/>
      </w:pPr>
    </w:lvl>
    <w:lvl w:ilvl="5" w:tplc="E9BC6CCA">
      <w:start w:val="1"/>
      <w:numFmt w:val="decimal"/>
      <w:lvlText w:val="%6."/>
      <w:lvlJc w:val="left"/>
      <w:pPr>
        <w:ind w:left="720" w:hanging="360"/>
      </w:pPr>
    </w:lvl>
    <w:lvl w:ilvl="6" w:tplc="EBB87C08">
      <w:start w:val="1"/>
      <w:numFmt w:val="decimal"/>
      <w:lvlText w:val="%7."/>
      <w:lvlJc w:val="left"/>
      <w:pPr>
        <w:ind w:left="720" w:hanging="360"/>
      </w:pPr>
    </w:lvl>
    <w:lvl w:ilvl="7" w:tplc="D2549CFA">
      <w:start w:val="1"/>
      <w:numFmt w:val="decimal"/>
      <w:lvlText w:val="%8."/>
      <w:lvlJc w:val="left"/>
      <w:pPr>
        <w:ind w:left="720" w:hanging="360"/>
      </w:pPr>
    </w:lvl>
    <w:lvl w:ilvl="8" w:tplc="D1D8C2CA">
      <w:start w:val="1"/>
      <w:numFmt w:val="decimal"/>
      <w:lvlText w:val="%9."/>
      <w:lvlJc w:val="left"/>
      <w:pPr>
        <w:ind w:left="720" w:hanging="36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6"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B3C3C"/>
    <w:multiLevelType w:val="hybridMultilevel"/>
    <w:tmpl w:val="1C58DC34"/>
    <w:lvl w:ilvl="0" w:tplc="57AE13BE">
      <w:start w:val="1"/>
      <w:numFmt w:val="decimal"/>
      <w:lvlText w:val="%1."/>
      <w:lvlJc w:val="left"/>
      <w:pPr>
        <w:ind w:left="720" w:hanging="360"/>
      </w:pPr>
    </w:lvl>
    <w:lvl w:ilvl="1" w:tplc="D7A46110">
      <w:start w:val="1"/>
      <w:numFmt w:val="decimal"/>
      <w:lvlText w:val="%2."/>
      <w:lvlJc w:val="left"/>
      <w:pPr>
        <w:ind w:left="720" w:hanging="360"/>
      </w:pPr>
    </w:lvl>
    <w:lvl w:ilvl="2" w:tplc="38463D22">
      <w:start w:val="1"/>
      <w:numFmt w:val="decimal"/>
      <w:lvlText w:val="%3."/>
      <w:lvlJc w:val="left"/>
      <w:pPr>
        <w:ind w:left="720" w:hanging="360"/>
      </w:pPr>
    </w:lvl>
    <w:lvl w:ilvl="3" w:tplc="8A7E70BE">
      <w:start w:val="1"/>
      <w:numFmt w:val="decimal"/>
      <w:lvlText w:val="%4."/>
      <w:lvlJc w:val="left"/>
      <w:pPr>
        <w:ind w:left="720" w:hanging="360"/>
      </w:pPr>
    </w:lvl>
    <w:lvl w:ilvl="4" w:tplc="B5A6542A">
      <w:start w:val="1"/>
      <w:numFmt w:val="decimal"/>
      <w:lvlText w:val="%5."/>
      <w:lvlJc w:val="left"/>
      <w:pPr>
        <w:ind w:left="720" w:hanging="360"/>
      </w:pPr>
    </w:lvl>
    <w:lvl w:ilvl="5" w:tplc="5E369F6E">
      <w:start w:val="1"/>
      <w:numFmt w:val="decimal"/>
      <w:lvlText w:val="%6."/>
      <w:lvlJc w:val="left"/>
      <w:pPr>
        <w:ind w:left="720" w:hanging="360"/>
      </w:pPr>
    </w:lvl>
    <w:lvl w:ilvl="6" w:tplc="DF4ABBB8">
      <w:start w:val="1"/>
      <w:numFmt w:val="decimal"/>
      <w:lvlText w:val="%7."/>
      <w:lvlJc w:val="left"/>
      <w:pPr>
        <w:ind w:left="720" w:hanging="360"/>
      </w:pPr>
    </w:lvl>
    <w:lvl w:ilvl="7" w:tplc="0AE074BE">
      <w:start w:val="1"/>
      <w:numFmt w:val="decimal"/>
      <w:lvlText w:val="%8."/>
      <w:lvlJc w:val="left"/>
      <w:pPr>
        <w:ind w:left="720" w:hanging="360"/>
      </w:pPr>
    </w:lvl>
    <w:lvl w:ilvl="8" w:tplc="19A2CCC0">
      <w:start w:val="1"/>
      <w:numFmt w:val="decimal"/>
      <w:lvlText w:val="%9."/>
      <w:lvlJc w:val="left"/>
      <w:pPr>
        <w:ind w:left="720" w:hanging="36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3C7C4A"/>
    <w:multiLevelType w:val="hybridMultilevel"/>
    <w:tmpl w:val="12B61DF4"/>
    <w:lvl w:ilvl="0" w:tplc="8E00369E">
      <w:start w:val="1"/>
      <w:numFmt w:val="lowerLetter"/>
      <w:lvlText w:val="%1)"/>
      <w:lvlJc w:val="left"/>
      <w:pPr>
        <w:ind w:left="720" w:hanging="360"/>
      </w:pPr>
    </w:lvl>
    <w:lvl w:ilvl="1" w:tplc="D892D6CA">
      <w:start w:val="1"/>
      <w:numFmt w:val="lowerLetter"/>
      <w:lvlText w:val="%2)"/>
      <w:lvlJc w:val="left"/>
      <w:pPr>
        <w:ind w:left="720" w:hanging="360"/>
      </w:pPr>
    </w:lvl>
    <w:lvl w:ilvl="2" w:tplc="7F28B322">
      <w:start w:val="1"/>
      <w:numFmt w:val="lowerLetter"/>
      <w:lvlText w:val="%3)"/>
      <w:lvlJc w:val="left"/>
      <w:pPr>
        <w:ind w:left="720" w:hanging="360"/>
      </w:pPr>
    </w:lvl>
    <w:lvl w:ilvl="3" w:tplc="98D83EDA">
      <w:start w:val="1"/>
      <w:numFmt w:val="lowerLetter"/>
      <w:lvlText w:val="%4)"/>
      <w:lvlJc w:val="left"/>
      <w:pPr>
        <w:ind w:left="720" w:hanging="360"/>
      </w:pPr>
    </w:lvl>
    <w:lvl w:ilvl="4" w:tplc="8C3A09F2">
      <w:start w:val="1"/>
      <w:numFmt w:val="lowerLetter"/>
      <w:lvlText w:val="%5)"/>
      <w:lvlJc w:val="left"/>
      <w:pPr>
        <w:ind w:left="720" w:hanging="360"/>
      </w:pPr>
    </w:lvl>
    <w:lvl w:ilvl="5" w:tplc="0172AE6A">
      <w:start w:val="1"/>
      <w:numFmt w:val="lowerLetter"/>
      <w:lvlText w:val="%6)"/>
      <w:lvlJc w:val="left"/>
      <w:pPr>
        <w:ind w:left="720" w:hanging="360"/>
      </w:pPr>
    </w:lvl>
    <w:lvl w:ilvl="6" w:tplc="859C213E">
      <w:start w:val="1"/>
      <w:numFmt w:val="lowerLetter"/>
      <w:lvlText w:val="%7)"/>
      <w:lvlJc w:val="left"/>
      <w:pPr>
        <w:ind w:left="720" w:hanging="360"/>
      </w:pPr>
    </w:lvl>
    <w:lvl w:ilvl="7" w:tplc="A2A8AEEA">
      <w:start w:val="1"/>
      <w:numFmt w:val="lowerLetter"/>
      <w:lvlText w:val="%8)"/>
      <w:lvlJc w:val="left"/>
      <w:pPr>
        <w:ind w:left="720" w:hanging="360"/>
      </w:pPr>
    </w:lvl>
    <w:lvl w:ilvl="8" w:tplc="D060867C">
      <w:start w:val="1"/>
      <w:numFmt w:val="lowerLetter"/>
      <w:lvlText w:val="%9)"/>
      <w:lvlJc w:val="left"/>
      <w:pPr>
        <w:ind w:left="720" w:hanging="360"/>
      </w:pPr>
    </w:lvl>
  </w:abstractNum>
  <w:abstractNum w:abstractNumId="40"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DA620FC"/>
    <w:multiLevelType w:val="hybridMultilevel"/>
    <w:tmpl w:val="3C445AC6"/>
    <w:lvl w:ilvl="0" w:tplc="CDD4FA06">
      <w:start w:val="1"/>
      <w:numFmt w:val="lowerLetter"/>
      <w:lvlText w:val="%1)"/>
      <w:lvlJc w:val="left"/>
      <w:pPr>
        <w:ind w:left="720" w:hanging="360"/>
      </w:pPr>
    </w:lvl>
    <w:lvl w:ilvl="1" w:tplc="5C884C3A">
      <w:start w:val="1"/>
      <w:numFmt w:val="lowerLetter"/>
      <w:lvlText w:val="%2)"/>
      <w:lvlJc w:val="left"/>
      <w:pPr>
        <w:ind w:left="720" w:hanging="360"/>
      </w:pPr>
    </w:lvl>
    <w:lvl w:ilvl="2" w:tplc="E1A280CC">
      <w:start w:val="1"/>
      <w:numFmt w:val="lowerLetter"/>
      <w:lvlText w:val="%3)"/>
      <w:lvlJc w:val="left"/>
      <w:pPr>
        <w:ind w:left="720" w:hanging="360"/>
      </w:pPr>
    </w:lvl>
    <w:lvl w:ilvl="3" w:tplc="78E8DAA8">
      <w:start w:val="1"/>
      <w:numFmt w:val="lowerLetter"/>
      <w:lvlText w:val="%4)"/>
      <w:lvlJc w:val="left"/>
      <w:pPr>
        <w:ind w:left="720" w:hanging="360"/>
      </w:pPr>
    </w:lvl>
    <w:lvl w:ilvl="4" w:tplc="EA240808">
      <w:start w:val="1"/>
      <w:numFmt w:val="lowerLetter"/>
      <w:lvlText w:val="%5)"/>
      <w:lvlJc w:val="left"/>
      <w:pPr>
        <w:ind w:left="720" w:hanging="360"/>
      </w:pPr>
    </w:lvl>
    <w:lvl w:ilvl="5" w:tplc="83360E98">
      <w:start w:val="1"/>
      <w:numFmt w:val="lowerLetter"/>
      <w:lvlText w:val="%6)"/>
      <w:lvlJc w:val="left"/>
      <w:pPr>
        <w:ind w:left="720" w:hanging="360"/>
      </w:pPr>
    </w:lvl>
    <w:lvl w:ilvl="6" w:tplc="33EA27D8">
      <w:start w:val="1"/>
      <w:numFmt w:val="lowerLetter"/>
      <w:lvlText w:val="%7)"/>
      <w:lvlJc w:val="left"/>
      <w:pPr>
        <w:ind w:left="720" w:hanging="360"/>
      </w:pPr>
    </w:lvl>
    <w:lvl w:ilvl="7" w:tplc="E54AE616">
      <w:start w:val="1"/>
      <w:numFmt w:val="lowerLetter"/>
      <w:lvlText w:val="%8)"/>
      <w:lvlJc w:val="left"/>
      <w:pPr>
        <w:ind w:left="720" w:hanging="360"/>
      </w:pPr>
    </w:lvl>
    <w:lvl w:ilvl="8" w:tplc="8FDEB8A8">
      <w:start w:val="1"/>
      <w:numFmt w:val="lowerLetter"/>
      <w:lvlText w:val="%9)"/>
      <w:lvlJc w:val="left"/>
      <w:pPr>
        <w:ind w:left="720" w:hanging="36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49"/>
  </w:num>
  <w:num w:numId="3">
    <w:abstractNumId w:val="23"/>
  </w:num>
  <w:num w:numId="4">
    <w:abstractNumId w:val="40"/>
  </w:num>
  <w:num w:numId="5">
    <w:abstractNumId w:val="26"/>
  </w:num>
  <w:num w:numId="6">
    <w:abstractNumId w:val="29"/>
  </w:num>
  <w:num w:numId="7">
    <w:abstractNumId w:val="15"/>
  </w:num>
  <w:num w:numId="8">
    <w:abstractNumId w:val="11"/>
  </w:num>
  <w:num w:numId="9">
    <w:abstractNumId w:val="19"/>
  </w:num>
  <w:num w:numId="10">
    <w:abstractNumId w:val="13"/>
  </w:num>
  <w:num w:numId="11">
    <w:abstractNumId w:val="17"/>
  </w:num>
  <w:num w:numId="12">
    <w:abstractNumId w:val="24"/>
  </w:num>
  <w:num w:numId="13">
    <w:abstractNumId w:val="0"/>
  </w:num>
  <w:num w:numId="14">
    <w:abstractNumId w:val="42"/>
  </w:num>
  <w:num w:numId="15">
    <w:abstractNumId w:val="48"/>
  </w:num>
  <w:num w:numId="16">
    <w:abstractNumId w:val="28"/>
  </w:num>
  <w:num w:numId="17">
    <w:abstractNumId w:val="30"/>
  </w:num>
  <w:num w:numId="18">
    <w:abstractNumId w:val="22"/>
  </w:num>
  <w:num w:numId="19">
    <w:abstractNumId w:val="36"/>
  </w:num>
  <w:num w:numId="20">
    <w:abstractNumId w:val="31"/>
  </w:num>
  <w:num w:numId="21">
    <w:abstractNumId w:val="5"/>
  </w:num>
  <w:num w:numId="22">
    <w:abstractNumId w:val="16"/>
  </w:num>
  <w:num w:numId="23">
    <w:abstractNumId w:val="4"/>
  </w:num>
  <w:num w:numId="24">
    <w:abstractNumId w:val="33"/>
  </w:num>
  <w:num w:numId="25">
    <w:abstractNumId w:val="12"/>
  </w:num>
  <w:num w:numId="26">
    <w:abstractNumId w:val="25"/>
  </w:num>
  <w:num w:numId="27">
    <w:abstractNumId w:val="27"/>
  </w:num>
  <w:num w:numId="28">
    <w:abstractNumId w:val="44"/>
  </w:num>
  <w:num w:numId="29">
    <w:abstractNumId w:val="38"/>
  </w:num>
  <w:num w:numId="30">
    <w:abstractNumId w:val="4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
  </w:num>
  <w:num w:numId="34">
    <w:abstractNumId w:val="14"/>
  </w:num>
  <w:num w:numId="35">
    <w:abstractNumId w:val="34"/>
  </w:num>
  <w:num w:numId="36">
    <w:abstractNumId w:val="21"/>
  </w:num>
  <w:num w:numId="37">
    <w:abstractNumId w:val="41"/>
  </w:num>
  <w:num w:numId="38">
    <w:abstractNumId w:val="20"/>
  </w:num>
  <w:num w:numId="39">
    <w:abstractNumId w:val="7"/>
  </w:num>
  <w:num w:numId="40">
    <w:abstractNumId w:val="32"/>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
  </w:num>
  <w:num w:numId="49">
    <w:abstractNumId w:val="46"/>
  </w:num>
  <w:num w:numId="50">
    <w:abstractNumId w:val="39"/>
  </w:num>
  <w:num w:numId="51">
    <w:abstractNumId w:val="37"/>
  </w:num>
  <w:num w:numId="52">
    <w:abstractNumId w:val="8"/>
  </w:num>
  <w:num w:numId="53">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225"/>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A2"/>
    <w:rsid w:val="001459D7"/>
    <w:rsid w:val="00146DB4"/>
    <w:rsid w:val="0014769A"/>
    <w:rsid w:val="00147F8D"/>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69A"/>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958"/>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381A"/>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4F6"/>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2F47"/>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171C"/>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13"/>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A0E"/>
    <w:rsid w:val="00E74C77"/>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character" w:customStyle="1" w:styleId="normaltextrun">
    <w:name w:val="normaltextrun"/>
    <w:basedOn w:val="Predvolenpsmoodseku"/>
    <w:rsid w:val="00E74A0E"/>
  </w:style>
  <w:style w:type="character" w:customStyle="1" w:styleId="eop">
    <w:name w:val="eop"/>
    <w:basedOn w:val="Predvolenpsmoodseku"/>
    <w:rsid w:val="00E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8" ma:contentTypeDescription="Umožňuje vytvoriť nový dokument." ma:contentTypeScope="" ma:versionID="5a0ab944a572bb160e9bb865eadddb1c">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4dd115c87c0539fe235a22486003da05"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C4F3E-4C87-4BD9-9ACE-97C85111C325}"/>
</file>

<file path=customXml/itemProps3.xml><?xml version="1.0" encoding="utf-8"?>
<ds:datastoreItem xmlns:ds="http://schemas.openxmlformats.org/officeDocument/2006/customXml" ds:itemID="{5DF4C10E-0997-467E-81D3-A1EDC664C2BE}">
  <ds:schemaRefs>
    <ds:schemaRef ds:uri="http://schemas.microsoft.com/sharepoint/v3/contenttype/forms"/>
  </ds:schemaRefs>
</ds:datastoreItem>
</file>

<file path=customXml/itemProps4.xml><?xml version="1.0" encoding="utf-8"?>
<ds:datastoreItem xmlns:ds="http://schemas.openxmlformats.org/officeDocument/2006/customXml" ds:itemID="{A29D14A9-B46A-43B9-9B87-D1D83BB46556}">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5.xml><?xml version="1.0" encoding="utf-8"?>
<ds:datastoreItem xmlns:ds="http://schemas.openxmlformats.org/officeDocument/2006/customXml" ds:itemID="{377B1DB1-44C5-48CA-8EEF-A1F02D81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19320</Words>
  <Characters>110128</Characters>
  <DocSecurity>0</DocSecurity>
  <Lines>917</Lines>
  <Paragraphs>258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2022-04-11T09:43:00Z</dcterms:created>
  <dcterms:modified xsi:type="dcterms:W3CDTF">2023-11-27T13:23:00Z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