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14142BE9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5C17AB60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5E13B2C5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79E8E789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73489269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3A5A4291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4AF5477A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7EB2E0F3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7AC34C76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4776FC52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276C1F9A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308CEA77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3EC8E5E7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FE1A081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FINANČNÝCH VZŤAHOV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1F8A49B7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43049814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327D85C5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4C5C8E58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0C7B79BF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56F462D8" w:rsidR="0051639E" w:rsidRPr="007C4B14" w:rsidRDefault="0085107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33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477BE6FD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0EFFDF05" w14:textId="73364ECD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Pr="00900AF8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39A82DF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 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 v platnom znení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3BB58C5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Opis Projektu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2192D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C65B1A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„09I01-03-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V0</w:t>
      </w:r>
      <w:r w:rsidR="00886C2E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–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Podpora prípravy projektov v Horizonte Európa“ Opis Projektu obsahuje údaje potrebné na vyplatenie Prostriedkov mechanizmu Prijímateľovi, a to v rozsahu údajov</w:t>
      </w:r>
      <w:r w:rsidR="007C7919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ako sú v Žiadosti o platbu.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BFE0C6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004D63E1">
      <w:pPr>
        <w:pStyle w:val="Bezriadkovania1"/>
        <w:ind w:left="567"/>
        <w:jc w:val="both"/>
        <w:rPr>
          <w:rFonts w:ascii="Arial Narrow" w:hAnsi="Arial Narrow"/>
          <w:bCs/>
        </w:rPr>
      </w:pPr>
      <w:r w:rsidRPr="00900AF8">
        <w:rPr>
          <w:rFonts w:ascii="Arial Narrow" w:hAnsi="Arial Narrow"/>
          <w:b/>
          <w:bCs/>
        </w:rPr>
        <w:t>Predmet Projektu</w:t>
      </w:r>
      <w:r w:rsidR="00411D5F" w:rsidRPr="00900AF8">
        <w:rPr>
          <w:rFonts w:ascii="Arial Narrow" w:hAnsi="Arial Narrow"/>
        </w:rPr>
        <w:t xml:space="preserve"> </w:t>
      </w:r>
      <w:r w:rsidR="00411D5F" w:rsidRPr="00900AF8">
        <w:rPr>
          <w:rFonts w:ascii="Arial Narrow" w:hAnsi="Arial Narrow"/>
          <w:bCs/>
        </w:rPr>
        <w:t xml:space="preserve">– </w:t>
      </w:r>
      <w:r w:rsidRPr="00900AF8">
        <w:rPr>
          <w:rFonts w:ascii="Arial Narrow" w:hAnsi="Arial Narrow"/>
        </w:rPr>
        <w:t xml:space="preserve">hmotne </w:t>
      </w:r>
      <w:proofErr w:type="spellStart"/>
      <w:r w:rsidRPr="00900AF8">
        <w:rPr>
          <w:rFonts w:ascii="Arial Narrow" w:hAnsi="Arial Narrow"/>
        </w:rPr>
        <w:t>zachytiteľná</w:t>
      </w:r>
      <w:proofErr w:type="spellEnd"/>
      <w:r w:rsidRPr="00900AF8">
        <w:rPr>
          <w:rFonts w:ascii="Arial Narrow" w:hAnsi="Arial Narrow"/>
        </w:rPr>
        <w:t xml:space="preserve"> podstata Projektu, ktorej nadobudnutie, realizácia, rekonštrukcia, poskytnutie alebo iné aktivity opísané v Projekte boli spolufinancované z </w:t>
      </w:r>
      <w:r w:rsidR="00AE4BD5" w:rsidRPr="00900AF8">
        <w:rPr>
          <w:rFonts w:ascii="Arial Narrow" w:hAnsi="Arial Narrow"/>
        </w:rPr>
        <w:t>P</w:t>
      </w:r>
      <w:r w:rsidRPr="00900AF8">
        <w:rPr>
          <w:rFonts w:ascii="Arial Narrow" w:hAnsi="Arial Narrow"/>
        </w:rPr>
        <w:t>rostriedkov mechanizmu</w:t>
      </w:r>
      <w:r w:rsidRPr="00900AF8">
        <w:rPr>
          <w:rFonts w:ascii="Arial Narrow" w:hAnsi="Arial Narrow"/>
          <w:bCs/>
        </w:rPr>
        <w:t>; môže ísť napríklad o stavbu, zariadenie, dokumentáciu, inú vec, majetkovú hodnotu alebo právo, pričom jeden Projekt môže zahŕňať aj viacero Predmetov Projektu</w:t>
      </w:r>
      <w:r w:rsidR="004D63E1" w:rsidRPr="00900AF8">
        <w:rPr>
          <w:rFonts w:ascii="Arial Narrow" w:hAnsi="Arial Narrow"/>
          <w:bCs/>
        </w:rPr>
        <w:t>;</w:t>
      </w:r>
    </w:p>
    <w:p w14:paraId="77656E08" w14:textId="77777777" w:rsidR="00A61DB4" w:rsidRPr="00900AF8" w:rsidRDefault="00A61DB4" w:rsidP="00A61DB4">
      <w:pPr>
        <w:pStyle w:val="Bezriadkovania1"/>
        <w:ind w:left="567"/>
        <w:jc w:val="both"/>
        <w:rPr>
          <w:rFonts w:ascii="Arial Narrow" w:hAnsi="Arial Narrow"/>
        </w:rPr>
      </w:pPr>
      <w:r w:rsidRPr="00900AF8">
        <w:rPr>
          <w:rFonts w:ascii="Arial Narrow" w:hAnsi="Arial Narrow"/>
          <w:b/>
          <w:bCs/>
        </w:rPr>
        <w:t>Princíp ,,výrazne nenarušiť“</w:t>
      </w:r>
      <w:r w:rsidR="00411D5F" w:rsidRPr="00900AF8">
        <w:rPr>
          <w:rFonts w:ascii="Arial Narrow" w:hAnsi="Arial Narrow"/>
          <w:b/>
          <w:bCs/>
        </w:rPr>
        <w:t xml:space="preserve"> </w:t>
      </w:r>
      <w:r w:rsidR="00411D5F" w:rsidRPr="00900AF8">
        <w:rPr>
          <w:rFonts w:ascii="Arial Narrow" w:hAnsi="Arial Narrow"/>
          <w:bCs/>
        </w:rPr>
        <w:t>–</w:t>
      </w:r>
      <w:r w:rsidRPr="00900AF8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(EÚ) 2020/852;</w:t>
      </w:r>
    </w:p>
    <w:p w14:paraId="093B32EE" w14:textId="492C8825" w:rsidR="00D008B7" w:rsidRPr="00900AF8" w:rsidRDefault="00D008B7" w:rsidP="11CE2598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</w:pPr>
      <w:r w:rsidRPr="2192D3A5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val="sk-SK" w:eastAsia="sk-SK"/>
        </w:rPr>
        <w:lastRenderedPageBreak/>
        <w:t xml:space="preserve">Projekt </w:t>
      </w:r>
      <w:r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- </w:t>
      </w:r>
      <w:r w:rsidR="00223B3D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 Pre účely výzvy „09I01-03</w:t>
      </w:r>
      <w:r w:rsidR="00C65B1A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 sa projektom rozumie súhrn už ukončených aktivít súvisiacich s prípravou a podaním projektového zámeru do výziev programu Horizontu Európa a/alebo jeho oprávnených častí, ako boli definované v texte výzvy, tzn. ide o retrospektívny projekt. Z tohto dôvodu sa aj ďalšie pojmy uvedené v čl. 1 ods. 2 VZP použijú primerane v prepojení na uvedenú definíciu projektu.</w:t>
      </w:r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V prípade, ak žiadateľ podal kumulovanú </w:t>
      </w:r>
      <w:proofErr w:type="spellStart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ŽoPPM</w:t>
      </w:r>
      <w:proofErr w:type="spellEnd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 viac projektových zámerov, projektom sa rozumie sú</w:t>
      </w:r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hrn už ukončených aktivít súvisiacich s prípravou a podaním všetkých oprávnených projektových zámerov vyplývajúcich z kladne posúdenej </w:t>
      </w:r>
      <w:proofErr w:type="spellStart"/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PM</w:t>
      </w:r>
      <w:proofErr w:type="spellEnd"/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77777777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/pomoci de </w:t>
      </w:r>
      <w:proofErr w:type="spellStart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1407/2013 z 18. decembra 2013 o uplatňovaní článkov 107 a 108 Zmluvy o fungovaní Európskej únie na pomoc de </w:t>
      </w:r>
      <w:proofErr w:type="spellStart"/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4C6FC257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D125D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-V02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</w:t>
      </w:r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sa </w:t>
      </w:r>
      <w:proofErr w:type="spellStart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proofErr w:type="spellEnd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nahrádza Zmluvou o poskytnutí prostriedkov mechanizmu.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1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1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2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2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echanizmu podľa 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viesť oddelenú účtovnú evidenciu o hospodárskej činnosti a nehospodárskej činnosti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1340181F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73161089" w:rsidR="00F817D6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30853C53" w14:textId="2EDB0DEA" w:rsidR="00012DA7" w:rsidRPr="00007360" w:rsidRDefault="00012DA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Prijímateľ sa zaväzuje, že zo získaných finančných prostriedkov nie je možné hradiť z týchto výdavkov DPH, pokiaľ je uplatniteľná podľa vnútroštátnych právnych predpisov (napr. v Slovenskej republike je to zákon č. 222/2004 Z. z. o dani z pridanej hodnoty v znení neskorších predpisov). 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272FCF19" w:rsidR="006639BF" w:rsidRPr="00900AF8" w:rsidRDefault="002B3583" w:rsidP="00A022A6">
      <w:pPr>
        <w:pStyle w:val="Nadpis2"/>
      </w:pPr>
      <w:bookmarkStart w:id="3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3"/>
    </w:p>
    <w:p w14:paraId="6FFD4A70" w14:textId="5CCBF728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1A8FA441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lastRenderedPageBreak/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1C852ABF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3914D870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6DEE9976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5F4EA7BF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9A6EFBC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2F11B829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76F3A42B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4BAFA13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32600E19" w:rsidR="006639BF" w:rsidRPr="00900AF8" w:rsidRDefault="001E61BB" w:rsidP="00A022A6">
      <w:pPr>
        <w:pStyle w:val="Nadpis2"/>
      </w:pPr>
      <w:bookmarkStart w:id="4" w:name="_Toc92752247"/>
      <w:r w:rsidRPr="00900AF8">
        <w:t>Č</w:t>
      </w:r>
      <w:r w:rsidR="00666159" w:rsidRPr="00900AF8">
        <w:t>lánok</w:t>
      </w:r>
      <w:r w:rsidRPr="00900AF8">
        <w:t xml:space="preserve"> </w:t>
      </w:r>
      <w:r w:rsidR="000519C7">
        <w:t>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4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07F83B2" w:rsidR="006639BF" w:rsidRPr="00900AF8" w:rsidRDefault="001E61BB" w:rsidP="00A022A6">
      <w:pPr>
        <w:pStyle w:val="Nadpis2"/>
      </w:pPr>
      <w:bookmarkStart w:id="5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5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n</w:t>
      </w:r>
      <w:r w:rsidR="00CB7C35" w:rsidRPr="00900AF8">
        <w:rPr>
          <w:rFonts w:ascii="Arial Narrow" w:hAnsi="Arial Narrow" w:cs="Arial"/>
          <w:lang w:val="sk-SK"/>
        </w:rPr>
        <w:t>ásledn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Pr="00900AF8">
        <w:rPr>
          <w:rFonts w:ascii="Arial Narrow" w:hAnsi="Arial Narrow" w:cs="Arial"/>
          <w:lang w:val="sk-SK"/>
        </w:rPr>
        <w:t>a</w:t>
      </w:r>
      <w:r w:rsidR="00164AD8" w:rsidRPr="00900AF8">
        <w:rPr>
          <w:rFonts w:ascii="Arial Narrow" w:hAnsi="Arial Narrow" w:cs="Arial"/>
          <w:lang w:val="sk-SK"/>
        </w:rPr>
        <w:t>.</w:t>
      </w:r>
      <w:r w:rsidR="00CB7C35" w:rsidRPr="00900AF8">
        <w:rPr>
          <w:rFonts w:ascii="Arial Narrow" w:hAnsi="Arial Narrow" w:cs="Arial"/>
          <w:lang w:val="sk-SK"/>
        </w:rPr>
        <w:t xml:space="preserve"> 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3DEADA87" w14:textId="530536A7" w:rsidR="009E790D" w:rsidRPr="00007360" w:rsidRDefault="00D20E07" w:rsidP="00686FE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 je</w:t>
      </w:r>
      <w:r w:rsidR="0006358F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86FEA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september 2026</w:t>
      </w:r>
      <w:r w:rsidR="0081753C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04D2148F" w:rsidR="006639BF" w:rsidRPr="00900AF8" w:rsidRDefault="009553B2" w:rsidP="00A022A6">
      <w:pPr>
        <w:pStyle w:val="Nadpis2"/>
      </w:pPr>
      <w:bookmarkStart w:id="6" w:name="_Toc92752249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6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72ED4CEE" w:rsidR="00E136A8" w:rsidRPr="00900AF8" w:rsidRDefault="00897D46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6817FB10" w:rsidR="006639BF" w:rsidRPr="00900AF8" w:rsidRDefault="002B3583" w:rsidP="00A022A6">
      <w:pPr>
        <w:pStyle w:val="Nadpis2"/>
      </w:pPr>
      <w:bookmarkStart w:id="7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7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to určí Vykonávateľ, Prijímateľ označí jednotlivé hnuteľné veci, ktoré tvoria Majetok nadobudnutý z Prostriedkov mechanizmu, spôsobom určeným Vykonávateľom tak, aby nemohli byť zamenené s inou vecou; uvedená podmienka sa nedotýka povinností vyplývajúcich z informovania, komunikácie a viditeľnosti podľa článku 6 VZP</w:t>
      </w:r>
      <w:r w:rsidR="001E61BB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0E37F184" w:rsidR="006639BF" w:rsidRPr="00900AF8" w:rsidRDefault="002B3583" w:rsidP="00A022A6">
      <w:pPr>
        <w:pStyle w:val="Nadpis2"/>
      </w:pPr>
      <w:bookmarkStart w:id="8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8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6C731586" w:rsidR="00172A41" w:rsidRPr="00900AF8" w:rsidRDefault="002B3583" w:rsidP="00A022A6">
      <w:pPr>
        <w:pStyle w:val="Nadpis2"/>
      </w:pPr>
      <w:bookmarkStart w:id="9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9"/>
      <w:r w:rsidR="00172A41" w:rsidRPr="00900AF8">
        <w:t xml:space="preserve">  </w:t>
      </w:r>
    </w:p>
    <w:p w14:paraId="1471BB0E" w14:textId="160D94B1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223D64D0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432899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2937C0F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6CAFE19E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F5C626B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9153EB2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1B21D046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172D5BFB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F3E61D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B46F67A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4F2A9AF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6A7E323A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58DF0D21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59232771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5DAF670D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4436BC9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6A0AA60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0B6E4129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255D1705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522A443B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B5DBA36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712E79BC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AA0304F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692F58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E2AC7D5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72E9EEEC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5822EF61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7A6CB2A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5BA888C6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2E9A8A3F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33174C10" w:rsidR="00581B4A" w:rsidRPr="00900AF8" w:rsidRDefault="002B3583" w:rsidP="00A022A6">
      <w:pPr>
        <w:pStyle w:val="Nadpis2"/>
      </w:pPr>
      <w:bookmarkStart w:id="10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0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446632BA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12073018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5E28843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VZP/v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F934C4A" w:rsidR="006639BF" w:rsidRPr="00900AF8" w:rsidRDefault="002B3583" w:rsidP="00A022A6">
      <w:pPr>
        <w:pStyle w:val="Nadpis2"/>
      </w:pPr>
      <w:bookmarkStart w:id="11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1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lastRenderedPageBreak/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EFA52AE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548A8BAA" w:rsidR="006639BF" w:rsidRPr="00900AF8" w:rsidRDefault="001E61BB" w:rsidP="00A022A6">
      <w:pPr>
        <w:pStyle w:val="Nadpis2"/>
      </w:pPr>
      <w:bookmarkStart w:id="12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2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lastRenderedPageBreak/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záložným veriteľom prvým v poradí (</w:t>
      </w:r>
      <w:proofErr w:type="spellStart"/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t.j</w:t>
      </w:r>
      <w:proofErr w:type="spellEnd"/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. ako prednostný záložný veriteľ)</w:t>
      </w:r>
      <w:r w:rsidR="00955288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ak Vykonávateľ 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neudelí výslovný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súhlas</w:t>
      </w:r>
      <w:r w:rsidR="00955288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aj v prípade, že Vykonávateľ nebude predno</w:t>
      </w:r>
      <w:r w:rsidR="009E2816" w:rsidRPr="00900AF8">
        <w:rPr>
          <w:rFonts w:ascii="Arial Narrow" w:eastAsia="Times New Roman" w:hAnsi="Arial Narrow" w:cs="Calibri"/>
          <w:sz w:val="22"/>
          <w:lang w:val="sk-SK" w:eastAsia="sk-SK"/>
        </w:rPr>
        <w:t>s</w:t>
      </w:r>
      <w:r w:rsidR="00955288" w:rsidRPr="00900AF8">
        <w:rPr>
          <w:rFonts w:ascii="Arial Narrow" w:eastAsia="Times New Roman" w:hAnsi="Arial Narrow" w:cs="Calibri"/>
          <w:sz w:val="22"/>
          <w:lang w:val="sk-SK" w:eastAsia="sk-SK"/>
        </w:rPr>
        <w:t>tným záložným veriteľom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13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42FBAA51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937111" w:rsidRPr="00E2768A">
        <w:rPr>
          <w:rFonts w:ascii="Arial Narrow" w:eastAsia="Times New Roman" w:hAnsi="Arial Narrow" w:cs="Calibri"/>
          <w:sz w:val="22"/>
          <w:highlight w:val="yellow"/>
          <w:lang w:val="sk-SK" w:eastAsia="sk-SK"/>
        </w:rPr>
        <w:t>....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13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16458C34" w:rsidR="006639BF" w:rsidRPr="00900AF8" w:rsidRDefault="001E61BB" w:rsidP="00A022A6">
      <w:pPr>
        <w:pStyle w:val="Nadpis2"/>
      </w:pPr>
      <w:bookmarkStart w:id="14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14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5DA2EF4B" w:rsidR="006639BF" w:rsidRPr="00900AF8" w:rsidRDefault="001E61BB" w:rsidP="00A022A6">
      <w:pPr>
        <w:pStyle w:val="Nadpis2"/>
      </w:pPr>
      <w:bookmarkStart w:id="15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15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1CAC6A16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A941B8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="00A941B8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7070AC4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uplatní </w:t>
      </w:r>
      <w:r w:rsidR="001523E0" w:rsidRPr="0081753C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49F3DAED" w:rsidR="006639BF" w:rsidRPr="00900AF8" w:rsidRDefault="001E61BB" w:rsidP="00A022A6">
      <w:pPr>
        <w:pStyle w:val="Nadpis2"/>
      </w:pPr>
      <w:bookmarkStart w:id="16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16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07A6B3A9" w:rsidR="00415BD3" w:rsidRPr="00900AF8" w:rsidRDefault="001E61BB" w:rsidP="00A022A6">
      <w:pPr>
        <w:pStyle w:val="Nadpis2"/>
      </w:pPr>
      <w:bookmarkStart w:id="17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17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1192F7" w:rsidR="006639BF" w:rsidRPr="00900AF8" w:rsidRDefault="001E61BB" w:rsidP="00A022A6">
      <w:pPr>
        <w:pStyle w:val="Nadpis2"/>
      </w:pPr>
      <w:bookmarkStart w:id="18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18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5843EAE2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Pr="0037621C">
        <w:rPr>
          <w:rFonts w:ascii="Arial Narrow" w:hAnsi="Arial Narrow"/>
          <w:sz w:val="22"/>
          <w:szCs w:val="22"/>
          <w:lang w:val="sk-SK"/>
        </w:rPr>
        <w:t xml:space="preserve">systémom </w:t>
      </w:r>
      <w:proofErr w:type="spellStart"/>
      <w:r w:rsidR="0037621C" w:rsidRPr="0037621C">
        <w:rPr>
          <w:rFonts w:ascii="Arial Narrow" w:hAnsi="Arial Narrow"/>
          <w:sz w:val="22"/>
          <w:szCs w:val="22"/>
          <w:lang w:val="sk-SK"/>
        </w:rPr>
        <w:t>predfinancovania</w:t>
      </w:r>
      <w:proofErr w:type="spellEnd"/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,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</w:t>
      </w:r>
      <w:r w:rsidRPr="00850BDD">
        <w:rPr>
          <w:rFonts w:ascii="Arial Narrow" w:hAnsi="Arial Narrow"/>
          <w:sz w:val="22"/>
          <w:szCs w:val="22"/>
          <w:lang w:val="sk-SK"/>
        </w:rPr>
        <w:lastRenderedPageBreak/>
        <w:t xml:space="preserve">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23BD47A7" w:rsidR="00B057B0" w:rsidRPr="00900AF8" w:rsidRDefault="00B057B0" w:rsidP="00012DA7">
      <w:pPr>
        <w:pStyle w:val="Nadpis2"/>
      </w:pPr>
      <w:bookmarkStart w:id="19" w:name="_Toc92752261"/>
      <w:r w:rsidRPr="004E790B">
        <w:t xml:space="preserve">Článok 17a. Systém </w:t>
      </w:r>
      <w:proofErr w:type="spellStart"/>
      <w:r w:rsidRPr="004E790B">
        <w:t>predfinancovania</w:t>
      </w:r>
      <w:bookmarkEnd w:id="19"/>
      <w:proofErr w:type="spellEnd"/>
    </w:p>
    <w:p w14:paraId="304E816F" w14:textId="6F32F26D" w:rsidR="006639BF" w:rsidRPr="00900AF8" w:rsidRDefault="006639BF" w:rsidP="00012DA7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686FF74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sa Prostriedky mechanizmu poskytujú na Oprávnené výdavky Projektu alebo ich časť na základe Prijímateľom predložených neuhradených</w:t>
      </w:r>
      <w:r w:rsidR="008B23B8">
        <w:rPr>
          <w:rFonts w:ascii="Arial Narrow" w:hAnsi="Arial Narrow"/>
          <w:lang w:val="sk-SK"/>
        </w:rPr>
        <w:t xml:space="preserve"> Ú</w:t>
      </w:r>
      <w:r w:rsidRPr="00900AF8">
        <w:rPr>
          <w:rFonts w:ascii="Arial Narrow" w:hAnsi="Arial Narrow"/>
          <w:lang w:val="sk-SK"/>
        </w:rPr>
        <w:t xml:space="preserve">čtovných dokladov v lehote splatnosti záväzku dodávateľom. </w:t>
      </w:r>
    </w:p>
    <w:p w14:paraId="72E42209" w14:textId="5A41B422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Vykonávateľ zabezpečí poskytnutie platby výlučne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="0001780E">
        <w:rPr>
          <w:rFonts w:ascii="Arial Narrow" w:hAnsi="Arial Narrow"/>
          <w:lang w:val="sk-SK"/>
        </w:rPr>
        <w:t xml:space="preserve"> – poskytnutie </w:t>
      </w:r>
      <w:proofErr w:type="spellStart"/>
      <w:r w:rsidR="0001780E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predloženej Prijímateľom v EUR. Prijímateľ v rámci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uvedie prehľad vykázaných výdavkov, vrátane celkových vykázaných výdavkov, nárokovanej sumy finančných prostriedkov a ostatných nenárokovaných výdavkov, a to v súlade s rozpočtom Projektu.</w:t>
      </w:r>
    </w:p>
    <w:p w14:paraId="34FAB186" w14:textId="33A799E1" w:rsidR="00B057B0" w:rsidRPr="00900AF8" w:rsidRDefault="0001780E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predkladá </w:t>
      </w:r>
      <w:r>
        <w:rPr>
          <w:rFonts w:ascii="Arial Narrow" w:hAnsi="Arial Narrow"/>
          <w:lang w:val="sk-SK"/>
        </w:rPr>
        <w:t xml:space="preserve">Vykonávateľovi </w:t>
      </w:r>
      <w:proofErr w:type="spellStart"/>
      <w:r w:rsidRPr="0001780E">
        <w:rPr>
          <w:rFonts w:ascii="Arial Narrow" w:hAnsi="Arial Narrow"/>
          <w:lang w:val="sk-SK"/>
        </w:rPr>
        <w:t>ŽoP</w:t>
      </w:r>
      <w:proofErr w:type="spellEnd"/>
      <w:r w:rsidRPr="0001780E">
        <w:rPr>
          <w:rFonts w:ascii="Arial Narrow" w:hAnsi="Arial Narrow"/>
          <w:lang w:val="sk-SK"/>
        </w:rPr>
        <w:t xml:space="preserve"> – poskytnutie </w:t>
      </w:r>
      <w:proofErr w:type="spellStart"/>
      <w:r w:rsidRPr="0001780E">
        <w:rPr>
          <w:rFonts w:ascii="Arial Narrow" w:hAnsi="Arial Narrow"/>
          <w:lang w:val="sk-SK"/>
        </w:rPr>
        <w:t>predfinancovania</w:t>
      </w:r>
      <w:proofErr w:type="spellEnd"/>
      <w:r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spolu s</w:t>
      </w:r>
      <w:r w:rsidR="00B057B0"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neuhradenými</w:t>
      </w:r>
      <w:r w:rsidR="008B23B8">
        <w:rPr>
          <w:rFonts w:ascii="Arial Narrow" w:hAnsi="Arial Narrow"/>
          <w:lang w:val="sk-SK"/>
        </w:rPr>
        <w:t xml:space="preserve"> Ú</w:t>
      </w:r>
      <w:r>
        <w:rPr>
          <w:rFonts w:ascii="Arial Narrow" w:hAnsi="Arial Narrow"/>
          <w:lang w:val="sk-SK"/>
        </w:rPr>
        <w:t>čtovnými dokladmi</w:t>
      </w:r>
      <w:r w:rsidR="00B057B0" w:rsidRPr="00900AF8">
        <w:rPr>
          <w:rFonts w:ascii="Arial Narrow" w:hAnsi="Arial Narrow"/>
          <w:lang w:val="sk-SK"/>
        </w:rPr>
        <w:t xml:space="preserve"> (napr. f</w:t>
      </w:r>
      <w:r w:rsidR="006264A4">
        <w:rPr>
          <w:rFonts w:ascii="Arial Narrow" w:hAnsi="Arial Narrow"/>
          <w:lang w:val="sk-SK"/>
        </w:rPr>
        <w:t>aktúra</w:t>
      </w:r>
      <w:r>
        <w:rPr>
          <w:rFonts w:ascii="Arial Narrow" w:hAnsi="Arial Narrow"/>
          <w:lang w:val="sk-SK"/>
        </w:rPr>
        <w:t>) prijatými</w:t>
      </w:r>
      <w:r w:rsidR="00B057B0" w:rsidRPr="00900AF8">
        <w:rPr>
          <w:rFonts w:ascii="Arial Narrow" w:hAnsi="Arial Narrow"/>
          <w:lang w:val="sk-SK"/>
        </w:rPr>
        <w:t xml:space="preserve"> od dodávateľa a</w:t>
      </w:r>
      <w:r w:rsidR="008072BF">
        <w:rPr>
          <w:rFonts w:ascii="Arial Narrow" w:hAnsi="Arial Narrow"/>
          <w:lang w:val="sk-SK"/>
        </w:rPr>
        <w:t xml:space="preserve"> s relevantnou podpornou dokumentáciou</w:t>
      </w:r>
      <w:r w:rsidR="00B057B0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="00B057B0"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dani z príjmov), ktorej </w:t>
      </w:r>
      <w:r w:rsidR="00B057B0" w:rsidRPr="006264A4">
        <w:rPr>
          <w:rFonts w:ascii="Arial Narrow" w:hAnsi="Arial Narrow"/>
          <w:lang w:val="sk-SK"/>
        </w:rPr>
        <w:t>minimálny rozsah</w:t>
      </w:r>
      <w:r w:rsidR="002B4AF1" w:rsidRPr="006264A4">
        <w:rPr>
          <w:rFonts w:ascii="Arial Narrow" w:hAnsi="Arial Narrow"/>
          <w:lang w:val="sk-SK"/>
        </w:rPr>
        <w:t xml:space="preserve"> 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352C6B">
        <w:rPr>
          <w:rFonts w:ascii="Arial Narrow" w:hAnsi="Arial Narrow"/>
          <w:lang w:val="sk-SK"/>
        </w:rPr>
        <w:t xml:space="preserve"> </w:t>
      </w:r>
      <w:r w:rsidR="00B057B0" w:rsidRPr="00900AF8">
        <w:rPr>
          <w:rFonts w:ascii="Arial Narrow" w:hAnsi="Arial Narrow"/>
          <w:lang w:val="sk-SK"/>
        </w:rPr>
        <w:t xml:space="preserve">určí Vykonávateľ v Záväznej dokumentácii, a to v lehote splatnosti </w:t>
      </w:r>
      <w:r w:rsidR="008B23B8">
        <w:rPr>
          <w:rFonts w:ascii="Arial Narrow" w:hAnsi="Arial Narrow"/>
          <w:lang w:val="sk-SK"/>
        </w:rPr>
        <w:t>týchto Ú</w:t>
      </w:r>
      <w:r w:rsidR="00B057B0" w:rsidRPr="00900AF8">
        <w:rPr>
          <w:rFonts w:ascii="Arial Narrow" w:hAnsi="Arial Narrow"/>
          <w:lang w:val="sk-SK"/>
        </w:rPr>
        <w:t>čto</w:t>
      </w:r>
      <w:r w:rsidR="008072BF">
        <w:rPr>
          <w:rFonts w:ascii="Arial Narrow" w:hAnsi="Arial Narrow"/>
          <w:lang w:val="sk-SK"/>
        </w:rPr>
        <w:t>vných dokladov. Jeden rovnopis Ú</w:t>
      </w:r>
      <w:r w:rsidR="00B057B0" w:rsidRPr="00900AF8">
        <w:rPr>
          <w:rFonts w:ascii="Arial Narrow" w:hAnsi="Arial Narrow"/>
          <w:lang w:val="sk-SK"/>
        </w:rPr>
        <w:t xml:space="preserve">čtovných dokladov si ponecháva Prijímateľ. </w:t>
      </w:r>
    </w:p>
    <w:p w14:paraId="10793E12" w14:textId="1AA86C55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je </w:t>
      </w:r>
      <w:r w:rsidRPr="008072BF">
        <w:rPr>
          <w:rFonts w:ascii="Arial Narrow" w:hAnsi="Arial Narrow"/>
          <w:lang w:val="sk-SK"/>
        </w:rPr>
        <w:t xml:space="preserve">povinný </w:t>
      </w:r>
      <w:r w:rsidRPr="004D647B">
        <w:rPr>
          <w:rFonts w:ascii="Arial Narrow" w:hAnsi="Arial Narrow"/>
          <w:lang w:val="sk-SK"/>
        </w:rPr>
        <w:t xml:space="preserve">uhradiť dodávateľom </w:t>
      </w:r>
      <w:r w:rsidR="008B23B8" w:rsidRPr="004D647B">
        <w:rPr>
          <w:rFonts w:ascii="Arial Narrow" w:hAnsi="Arial Narrow"/>
          <w:lang w:val="sk-SK"/>
        </w:rPr>
        <w:t>Ú</w:t>
      </w:r>
      <w:r w:rsidRPr="004D647B">
        <w:rPr>
          <w:rFonts w:ascii="Arial Narrow" w:hAnsi="Arial Narrow"/>
          <w:lang w:val="sk-SK"/>
        </w:rPr>
        <w:t>čtovné doklady</w:t>
      </w:r>
      <w:r w:rsidRPr="00900AF8">
        <w:rPr>
          <w:rFonts w:ascii="Arial Narrow" w:hAnsi="Arial Narrow"/>
          <w:lang w:val="sk-SK"/>
        </w:rPr>
        <w:t>, na ktoré bolo posky</w:t>
      </w:r>
      <w:r w:rsidR="00A06BB8" w:rsidRPr="00900AF8">
        <w:rPr>
          <w:rFonts w:ascii="Arial Narrow" w:hAnsi="Arial Narrow"/>
          <w:lang w:val="sk-SK"/>
        </w:rPr>
        <w:t>t</w:t>
      </w:r>
      <w:r w:rsidRPr="00900AF8">
        <w:rPr>
          <w:rFonts w:ascii="Arial Narrow" w:hAnsi="Arial Narrow"/>
          <w:lang w:val="sk-SK"/>
        </w:rPr>
        <w:t xml:space="preserve">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, najneskôr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="00B31177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pracovných dní odo dňa pripísania príslušnej platby na účet Prijímateľa, alebo odo dňa </w:t>
      </w:r>
      <w:r w:rsidRPr="00900AF8">
        <w:rPr>
          <w:rFonts w:ascii="Arial Narrow" w:hAnsi="Arial Narrow"/>
          <w:lang w:val="sk-SK"/>
        </w:rPr>
        <w:lastRenderedPageBreak/>
        <w:t>aktivácie evidenčného listu úprav rozpočtu potvrdzujúc</w:t>
      </w:r>
      <w:r w:rsidR="00B01002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Úrok z</w:t>
      </w:r>
      <w:r w:rsidR="00BF0927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omeškania</w:t>
      </w:r>
      <w:r w:rsidR="00BF0927">
        <w:rPr>
          <w:rFonts w:ascii="Arial Narrow" w:hAnsi="Arial Narrow"/>
          <w:lang w:val="sk-SK"/>
        </w:rPr>
        <w:t xml:space="preserve"> v prípade omeškania Prijímateľa</w:t>
      </w:r>
      <w:r w:rsidRPr="00900AF8">
        <w:rPr>
          <w:rFonts w:ascii="Arial Narrow" w:hAnsi="Arial Narrow"/>
          <w:lang w:val="sk-SK"/>
        </w:rPr>
        <w:t xml:space="preserve"> s úhradou záväzku voči </w:t>
      </w:r>
      <w:r w:rsidR="00A67E73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>odávateľovi a iné zmluvné sankcie znáša Prijímateľ.</w:t>
      </w:r>
    </w:p>
    <w:p w14:paraId="164EEA98" w14:textId="1236205C" w:rsidR="00B057B0" w:rsidRPr="00056520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Po poskytnutí každej platby 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je Prijímateľ povinný celú jej výšku zúčtovať, a to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Pr="00900AF8">
        <w:rPr>
          <w:rFonts w:ascii="Arial Narrow" w:hAnsi="Arial Narrow"/>
          <w:lang w:val="sk-SK"/>
        </w:rPr>
        <w:t xml:space="preserve"> dní odo dňa pripísania týchto p</w:t>
      </w:r>
      <w:r w:rsidR="008072BF">
        <w:rPr>
          <w:rFonts w:ascii="Arial Narrow" w:hAnsi="Arial Narrow"/>
          <w:lang w:val="sk-SK"/>
        </w:rPr>
        <w:t>rostriedkov na účet Prijímateľa</w:t>
      </w:r>
      <w:r w:rsidRPr="00900AF8">
        <w:rPr>
          <w:rFonts w:ascii="Arial Narrow" w:hAnsi="Arial Narrow"/>
          <w:lang w:val="sk-SK"/>
        </w:rPr>
        <w:t xml:space="preserve"> alebo odo dňa aktivácie evidenčného l</w:t>
      </w:r>
      <w:r w:rsidR="0000301E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</w:t>
      </w:r>
      <w:r w:rsidR="00F76E53" w:rsidRPr="008E5FB9">
        <w:rPr>
          <w:rFonts w:ascii="Arial Narrow" w:hAnsi="Arial Narrow"/>
          <w:lang w:val="sk-SK"/>
        </w:rPr>
        <w:t xml:space="preserve">Nezúčtovaný rozdiel </w:t>
      </w:r>
      <w:proofErr w:type="spellStart"/>
      <w:r w:rsidR="00F76E53" w:rsidRPr="008E5FB9">
        <w:rPr>
          <w:rFonts w:ascii="Arial Narrow" w:hAnsi="Arial Narrow"/>
          <w:lang w:val="sk-SK"/>
        </w:rPr>
        <w:t>predfinancovania</w:t>
      </w:r>
      <w:proofErr w:type="spellEnd"/>
      <w:r w:rsidRPr="008E5FB9">
        <w:rPr>
          <w:rFonts w:ascii="Arial Narrow" w:hAnsi="Arial Narrow"/>
          <w:lang w:val="sk-SK"/>
        </w:rPr>
        <w:t xml:space="preserve"> je </w:t>
      </w:r>
      <w:r w:rsidR="00D32DB6" w:rsidRPr="008E5FB9">
        <w:rPr>
          <w:rFonts w:ascii="Arial Narrow" w:hAnsi="Arial Narrow"/>
          <w:lang w:val="sk-SK"/>
        </w:rPr>
        <w:t>Prijímateľ</w:t>
      </w:r>
      <w:r w:rsidRPr="008E5FB9">
        <w:rPr>
          <w:rFonts w:ascii="Arial Narrow" w:hAnsi="Arial Narrow"/>
          <w:lang w:val="sk-SK"/>
        </w:rPr>
        <w:t xml:space="preserve"> povinný vrátiť </w:t>
      </w:r>
      <w:r w:rsidR="00A67E73" w:rsidRPr="008E5FB9">
        <w:rPr>
          <w:rFonts w:ascii="Arial Narrow" w:hAnsi="Arial Narrow"/>
          <w:lang w:val="sk-SK"/>
        </w:rPr>
        <w:t>V</w:t>
      </w:r>
      <w:r w:rsidRPr="008E5FB9">
        <w:rPr>
          <w:rFonts w:ascii="Arial Narrow" w:hAnsi="Arial Narrow"/>
          <w:lang w:val="sk-SK"/>
        </w:rPr>
        <w:t xml:space="preserve">ykonávateľovi </w:t>
      </w:r>
      <w:r w:rsidR="00E8600D" w:rsidRPr="004D647B">
        <w:rPr>
          <w:rFonts w:ascii="Arial Narrow" w:hAnsi="Arial Narrow"/>
          <w:lang w:val="sk-SK"/>
        </w:rPr>
        <w:t>najneskôr</w:t>
      </w:r>
      <w:r w:rsidR="00E8600D">
        <w:rPr>
          <w:rFonts w:ascii="Arial Narrow" w:hAnsi="Arial Narrow"/>
          <w:lang w:val="sk-SK"/>
        </w:rPr>
        <w:t xml:space="preserve"> </w:t>
      </w:r>
      <w:r w:rsidRPr="008E5FB9">
        <w:rPr>
          <w:rFonts w:ascii="Arial Narrow" w:hAnsi="Arial Narrow"/>
          <w:lang w:val="sk-SK"/>
        </w:rPr>
        <w:t xml:space="preserve">do času </w:t>
      </w:r>
      <w:r w:rsidR="00FE6C33" w:rsidRPr="008E5FB9">
        <w:rPr>
          <w:rFonts w:ascii="Arial Narrow" w:hAnsi="Arial Narrow"/>
          <w:lang w:val="sk-SK"/>
        </w:rPr>
        <w:t>doručenia</w:t>
      </w:r>
      <w:r w:rsidR="000C33DE" w:rsidRPr="008E5FB9">
        <w:rPr>
          <w:rFonts w:ascii="Arial Narrow" w:hAnsi="Arial Narrow"/>
          <w:lang w:val="sk-SK"/>
        </w:rPr>
        <w:t xml:space="preserve">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FE6C33" w:rsidRPr="008E5FB9">
        <w:rPr>
          <w:rFonts w:ascii="Arial Narrow" w:hAnsi="Arial Narrow"/>
          <w:lang w:val="sk-SK"/>
        </w:rPr>
        <w:t xml:space="preserve"> Vykonávateľovi</w:t>
      </w:r>
      <w:r w:rsidRPr="008E5FB9">
        <w:rPr>
          <w:rFonts w:ascii="Arial Narrow" w:hAnsi="Arial Narrow"/>
          <w:lang w:val="sk-SK"/>
        </w:rPr>
        <w:t>,</w:t>
      </w:r>
      <w:r w:rsidR="00335EC3" w:rsidRPr="008E5FB9">
        <w:rPr>
          <w:rFonts w:ascii="Arial Narrow" w:hAnsi="Arial Narrow"/>
          <w:lang w:val="sk-SK"/>
        </w:rPr>
        <w:t xml:space="preserve"> pričom súčasťou takejto </w:t>
      </w:r>
      <w:proofErr w:type="spellStart"/>
      <w:r w:rsidR="00335EC3" w:rsidRPr="008E5FB9">
        <w:rPr>
          <w:rFonts w:ascii="Arial Narrow" w:hAnsi="Arial Narrow"/>
          <w:lang w:val="sk-SK"/>
        </w:rPr>
        <w:t>ŽoP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sú aj doklady preukazujúce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. Vykonávateľ je oprávnený akceptovať aj </w:t>
      </w:r>
      <w:r w:rsidR="008072BF" w:rsidRPr="008E5FB9">
        <w:rPr>
          <w:rFonts w:ascii="Arial Narrow" w:hAnsi="Arial Narrow"/>
          <w:lang w:val="sk-SK"/>
        </w:rPr>
        <w:t>neskorši</w:t>
      </w:r>
      <w:r w:rsidR="008072BF">
        <w:rPr>
          <w:rFonts w:ascii="Arial Narrow" w:hAnsi="Arial Narrow"/>
          <w:lang w:val="sk-SK"/>
        </w:rPr>
        <w:t>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a </w:t>
      </w:r>
      <w:r w:rsidR="008072BF" w:rsidRPr="008E5FB9">
        <w:rPr>
          <w:rFonts w:ascii="Arial Narrow" w:hAnsi="Arial Narrow"/>
          <w:lang w:val="sk-SK"/>
        </w:rPr>
        <w:t>je</w:t>
      </w:r>
      <w:r w:rsidR="008072BF">
        <w:rPr>
          <w:rFonts w:ascii="Arial Narrow" w:hAnsi="Arial Narrow"/>
          <w:lang w:val="sk-SK"/>
        </w:rPr>
        <w:t>ho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>preukázanie zo strany Prijímateľa, ak ešte nedošlo k</w:t>
      </w:r>
      <w:r w:rsidRPr="008E5FB9">
        <w:rPr>
          <w:rFonts w:ascii="Arial Narrow" w:hAnsi="Arial Narrow"/>
          <w:lang w:val="sk-SK"/>
        </w:rPr>
        <w:t xml:space="preserve"> ukončeni</w:t>
      </w:r>
      <w:r w:rsidR="00335EC3" w:rsidRPr="008E5FB9">
        <w:rPr>
          <w:rFonts w:ascii="Arial Narrow" w:hAnsi="Arial Narrow"/>
          <w:lang w:val="sk-SK"/>
        </w:rPr>
        <w:t>u</w:t>
      </w:r>
      <w:r w:rsidRPr="008E5FB9">
        <w:rPr>
          <w:rFonts w:ascii="Arial Narrow" w:hAnsi="Arial Narrow"/>
          <w:lang w:val="sk-SK"/>
        </w:rPr>
        <w:t xml:space="preserve"> overovania v rámci kontroly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zo strany Vykonávateľa.</w:t>
      </w:r>
    </w:p>
    <w:p w14:paraId="19CCF418" w14:textId="2DA9F892" w:rsidR="00B057B0" w:rsidRPr="00850BDD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056520">
        <w:rPr>
          <w:rFonts w:ascii="Arial Narrow" w:hAnsi="Arial Narrow"/>
          <w:lang w:val="sk-SK"/>
        </w:rPr>
        <w:t xml:space="preserve">Prijímateľ zúčtuje platbu Vykonávateľovi predložením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Pr="00056520">
        <w:rPr>
          <w:rFonts w:ascii="Arial Narrow" w:hAnsi="Arial Narrow"/>
          <w:lang w:val="sk-SK"/>
        </w:rPr>
        <w:t>, ktorú predkladá spolu s výpisom z účtu potvrdzujúc</w:t>
      </w:r>
      <w:r w:rsidR="008072BF">
        <w:rPr>
          <w:rFonts w:ascii="Arial Narrow" w:hAnsi="Arial Narrow"/>
          <w:lang w:val="sk-SK"/>
        </w:rPr>
        <w:t>i</w:t>
      </w:r>
      <w:r w:rsidRPr="00056520">
        <w:rPr>
          <w:rFonts w:ascii="Arial Narrow" w:hAnsi="Arial Narrow"/>
          <w:lang w:val="sk-SK"/>
        </w:rPr>
        <w:t xml:space="preserve">m príjem </w:t>
      </w:r>
      <w:r w:rsidR="00B2724B" w:rsidRPr="00056520">
        <w:rPr>
          <w:rFonts w:ascii="Arial Narrow" w:hAnsi="Arial Narrow"/>
          <w:lang w:val="sk-SK"/>
        </w:rPr>
        <w:t>P</w:t>
      </w:r>
      <w:r w:rsidRPr="00056520">
        <w:rPr>
          <w:rFonts w:ascii="Arial Narrow" w:hAnsi="Arial Narrow"/>
          <w:lang w:val="sk-SK"/>
        </w:rPr>
        <w:t xml:space="preserve">rostriedkov mechanizmu, ako aj </w:t>
      </w:r>
      <w:r w:rsidR="0000301E">
        <w:rPr>
          <w:rFonts w:ascii="Arial Narrow" w:hAnsi="Arial Narrow"/>
          <w:lang w:val="sk-SK"/>
        </w:rPr>
        <w:t xml:space="preserve">s </w:t>
      </w:r>
      <w:r w:rsidRPr="00056520">
        <w:rPr>
          <w:rFonts w:ascii="Arial Narrow" w:hAnsi="Arial Narrow"/>
          <w:lang w:val="sk-SK"/>
        </w:rPr>
        <w:t xml:space="preserve">dokladmi potvrdzujúcimi skutočnú úhradu výdavkov deklarovaných v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>,</w:t>
      </w:r>
      <w:r w:rsidRPr="00056520">
        <w:rPr>
          <w:rFonts w:ascii="Arial Narrow" w:hAnsi="Arial Narrow"/>
          <w:lang w:val="sk-SK"/>
        </w:rPr>
        <w:t xml:space="preserve"> </w:t>
      </w:r>
      <w:r w:rsidR="00C26151">
        <w:rPr>
          <w:rFonts w:ascii="Arial Narrow" w:hAnsi="Arial Narrow"/>
          <w:lang w:val="sk-SK"/>
        </w:rPr>
        <w:t xml:space="preserve">najmä </w:t>
      </w:r>
      <w:r w:rsidRPr="00056520">
        <w:rPr>
          <w:rFonts w:ascii="Arial Narrow" w:hAnsi="Arial Narrow"/>
          <w:lang w:val="sk-SK"/>
        </w:rPr>
        <w:t xml:space="preserve">výpisom z účtu alebo prehlásením banky o úhrade. </w:t>
      </w:r>
      <w:r w:rsidR="007B224A" w:rsidRPr="00056520">
        <w:rPr>
          <w:rFonts w:ascii="Arial Narrow" w:hAnsi="Arial Narrow"/>
          <w:lang w:val="sk-SK"/>
        </w:rPr>
        <w:t xml:space="preserve">Doklady potvrdzujúce skutočnú úhradu výdavkov deklarovaných v </w:t>
      </w:r>
      <w:proofErr w:type="spellStart"/>
      <w:r w:rsidR="007B224A" w:rsidRPr="00056520">
        <w:rPr>
          <w:rFonts w:ascii="Arial Narrow" w:hAnsi="Arial Narrow"/>
          <w:lang w:val="sk-SK"/>
        </w:rPr>
        <w:t>ŽoP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="007B224A"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nie je potrebné predkladať pri výdavkoch vykazovaných formou zjednodušeného </w:t>
      </w:r>
      <w:r w:rsidR="007B224A" w:rsidRPr="00524485">
        <w:rPr>
          <w:rFonts w:ascii="Arial Narrow" w:hAnsi="Arial Narrow"/>
          <w:lang w:val="sk-SK"/>
        </w:rPr>
        <w:t>vykazovania</w:t>
      </w:r>
      <w:r w:rsidR="00EC2FD7" w:rsidRPr="00056520">
        <w:rPr>
          <w:rFonts w:ascii="Arial Narrow" w:hAnsi="Arial Narrow"/>
        </w:rPr>
        <w:t xml:space="preserve"> </w:t>
      </w:r>
      <w:r w:rsidR="00EC2FD7" w:rsidRPr="00056520">
        <w:rPr>
          <w:rFonts w:ascii="Arial Narrow" w:hAnsi="Arial Narrow"/>
          <w:lang w:val="sk-SK"/>
        </w:rPr>
        <w:t>a výdavko</w:t>
      </w:r>
      <w:r w:rsidR="00884D8B" w:rsidRPr="00056520">
        <w:rPr>
          <w:rFonts w:ascii="Arial Narrow" w:hAnsi="Arial Narrow"/>
          <w:lang w:val="sk-SK"/>
        </w:rPr>
        <w:t>ch</w:t>
      </w:r>
      <w:r w:rsidR="00EC2FD7" w:rsidRPr="00056520">
        <w:rPr>
          <w:rFonts w:ascii="Arial Narrow" w:hAnsi="Arial Narrow"/>
          <w:lang w:val="sk-SK"/>
        </w:rPr>
        <w:t>, ktoré sa svojou povahou neuhrádzajú.</w:t>
      </w:r>
    </w:p>
    <w:p w14:paraId="66BD03F9" w14:textId="1A509F3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</w:t>
      </w:r>
      <w:r w:rsidRPr="00524485">
        <w:rPr>
          <w:rFonts w:ascii="Arial Narrow" w:hAnsi="Arial Narrow"/>
          <w:lang w:val="sk-SK"/>
        </w:rPr>
        <w:t>povinný</w:t>
      </w:r>
      <w:r w:rsidRPr="00900AF8">
        <w:rPr>
          <w:rFonts w:ascii="Arial Narrow" w:hAnsi="Arial Narrow"/>
          <w:lang w:val="sk-SK"/>
        </w:rPr>
        <w:t xml:space="preserve"> vykonať kontrolu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podľa zákona o finančnej kontrole. Po vykonaní kontroly podľa predchádzajúcej vety Vykonávateľ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schváli v plnej výške, schváli vo výške znížene</w:t>
      </w:r>
      <w:r w:rsidR="00524485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B2724B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</w:t>
      </w:r>
      <w:r w:rsidR="005C6B67" w:rsidRPr="00900AF8">
        <w:rPr>
          <w:rFonts w:ascii="Arial Narrow" w:hAnsi="Arial Narrow"/>
          <w:lang w:val="sk-SK"/>
        </w:rPr>
        <w:t>m</w:t>
      </w:r>
      <w:r w:rsidRPr="00900AF8">
        <w:rPr>
          <w:rFonts w:ascii="Arial Narrow" w:hAnsi="Arial Narrow"/>
          <w:lang w:val="sk-SK"/>
        </w:rPr>
        <w:t xml:space="preserve"> výdavkom. V prípade, ak Vykonávateľ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na základe vykonanej kontroly neschváli alebo schváli v zníženej sume</w:t>
      </w:r>
      <w:r w:rsidRPr="008607A7">
        <w:rPr>
          <w:rFonts w:ascii="Arial Narrow" w:hAnsi="Arial Narrow"/>
          <w:lang w:val="sk-SK"/>
        </w:rPr>
        <w:t xml:space="preserve">, </w:t>
      </w:r>
      <w:r w:rsidR="005C6B67" w:rsidRPr="008607A7">
        <w:rPr>
          <w:rFonts w:ascii="Arial Narrow" w:hAnsi="Arial Narrow"/>
          <w:lang w:val="sk-SK"/>
        </w:rPr>
        <w:t>V</w:t>
      </w:r>
      <w:r w:rsidRPr="008607A7">
        <w:rPr>
          <w:rFonts w:ascii="Arial Narrow" w:hAnsi="Arial Narrow"/>
          <w:lang w:val="sk-SK"/>
        </w:rPr>
        <w:t xml:space="preserve">ykonávateľ </w:t>
      </w:r>
      <w:r w:rsidR="00CC61BF" w:rsidRPr="008607A7">
        <w:rPr>
          <w:rFonts w:ascii="Arial Narrow" w:hAnsi="Arial Narrow"/>
          <w:lang w:val="sk-SK"/>
        </w:rPr>
        <w:t>vyzve Prijímateľa na vrátenie</w:t>
      </w:r>
      <w:r w:rsidRPr="008607A7">
        <w:rPr>
          <w:rFonts w:ascii="Arial Narrow" w:hAnsi="Arial Narrow"/>
          <w:lang w:val="sk-SK"/>
        </w:rPr>
        <w:t xml:space="preserve"> nezúčtovaného </w:t>
      </w:r>
      <w:proofErr w:type="spellStart"/>
      <w:r w:rsidRPr="008607A7">
        <w:rPr>
          <w:rFonts w:ascii="Arial Narrow" w:hAnsi="Arial Narrow"/>
          <w:lang w:val="sk-SK"/>
        </w:rPr>
        <w:t>predfinancovania</w:t>
      </w:r>
      <w:proofErr w:type="spellEnd"/>
      <w:r w:rsidR="008607A7" w:rsidRPr="008607A7">
        <w:rPr>
          <w:rFonts w:ascii="Arial Narrow" w:hAnsi="Arial Narrow"/>
          <w:lang w:val="sk-SK"/>
        </w:rPr>
        <w:t xml:space="preserve">, resp. </w:t>
      </w:r>
      <w:r w:rsidR="008607A7" w:rsidRPr="008607A7">
        <w:rPr>
          <w:rFonts w:ascii="Arial Narrow" w:hAnsi="Arial Narrow"/>
          <w:shd w:val="clear" w:color="auto" w:fill="FFFFFF"/>
          <w:lang w:val="sk-SK"/>
        </w:rPr>
        <w:t xml:space="preserve">nezúčtovanej časti </w:t>
      </w:r>
      <w:proofErr w:type="spellStart"/>
      <w:r w:rsidR="008607A7" w:rsidRPr="008607A7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="00CC61BF" w:rsidRPr="008607A7">
        <w:rPr>
          <w:rFonts w:ascii="Arial Narrow" w:hAnsi="Arial Narrow"/>
          <w:lang w:val="sk-SK"/>
        </w:rPr>
        <w:t xml:space="preserve"> postupom podľa </w:t>
      </w:r>
      <w:r w:rsidR="00FE6210">
        <w:rPr>
          <w:rFonts w:ascii="Arial Narrow" w:hAnsi="Arial Narrow"/>
          <w:lang w:val="sk-SK"/>
        </w:rPr>
        <w:t xml:space="preserve">článku </w:t>
      </w:r>
      <w:r w:rsidR="00CC61BF" w:rsidRPr="008607A7">
        <w:rPr>
          <w:rFonts w:ascii="Arial Narrow" w:hAnsi="Arial Narrow"/>
          <w:lang w:val="sk-SK"/>
        </w:rPr>
        <w:t xml:space="preserve"> 14 VZP</w:t>
      </w:r>
      <w:r w:rsidRPr="00900AF8">
        <w:rPr>
          <w:rFonts w:ascii="Arial Narrow" w:hAnsi="Arial Narrow"/>
          <w:lang w:val="sk-SK"/>
        </w:rPr>
        <w:t xml:space="preserve">.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sa považuje za zúčtované, ak je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schválená v plnej výške, alebo </w:t>
      </w:r>
      <w:r w:rsidR="00524485">
        <w:rPr>
          <w:rFonts w:ascii="Arial Narrow" w:hAnsi="Arial Narrow"/>
          <w:lang w:val="sk-SK"/>
        </w:rPr>
        <w:t xml:space="preserve">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sumu posk</w:t>
      </w:r>
      <w:r w:rsidR="00524485">
        <w:rPr>
          <w:rFonts w:ascii="Arial Narrow" w:hAnsi="Arial Narrow"/>
          <w:lang w:val="sk-SK"/>
        </w:rPr>
        <w:t xml:space="preserve">ytnutého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="00524485">
        <w:rPr>
          <w:rFonts w:ascii="Arial Narrow" w:hAnsi="Arial Narrow"/>
          <w:lang w:val="sk-SK"/>
        </w:rPr>
        <w:t xml:space="preserve"> alebo</w:t>
      </w:r>
      <w:r w:rsidRPr="00900AF8">
        <w:rPr>
          <w:rFonts w:ascii="Arial Narrow" w:hAnsi="Arial Narrow"/>
          <w:lang w:val="sk-SK"/>
        </w:rPr>
        <w:t xml:space="preserve"> vrátil nezúčtovaný rozdiel poskytnutého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7C4E5DB1" w14:textId="6489E1FE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 prípade, 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nepredloží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v lehote určenej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ykonávateľom,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524485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 dodatočnej lehote alebo požiadať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. </w:t>
      </w:r>
      <w:r w:rsidRPr="00CC61BF">
        <w:rPr>
          <w:rFonts w:ascii="Arial Narrow" w:hAnsi="Arial Narrow"/>
          <w:lang w:val="sk-SK"/>
        </w:rPr>
        <w:t xml:space="preserve">Pokiaľ vznikne 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rijímateľovi povinnosť vrátiť poskytnuté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a 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nevráti z vlastnej iniciatívy</w:t>
      </w:r>
      <w:r w:rsidRPr="00900AF8">
        <w:rPr>
          <w:rFonts w:ascii="Arial Narrow" w:hAnsi="Arial Narrow"/>
          <w:lang w:val="sk-SK"/>
        </w:rPr>
        <w:t xml:space="preserve">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CC61BF" w:rsidRPr="00664171">
        <w:rPr>
          <w:rFonts w:ascii="Arial Narrow" w:hAnsi="Arial Narrow"/>
          <w:lang w:val="sk-SK"/>
        </w:rPr>
        <w:t xml:space="preserve">nezúčtovaného </w:t>
      </w:r>
      <w:proofErr w:type="spellStart"/>
      <w:r w:rsidR="00CC61BF" w:rsidRPr="00664171">
        <w:rPr>
          <w:rFonts w:ascii="Arial Narrow" w:hAnsi="Arial Narrow"/>
          <w:lang w:val="sk-SK"/>
        </w:rPr>
        <w:t>predfinancovania</w:t>
      </w:r>
      <w:proofErr w:type="spellEnd"/>
      <w:r w:rsidR="00CC61BF" w:rsidRPr="00664171">
        <w:rPr>
          <w:rFonts w:ascii="Arial Narrow" w:hAnsi="Arial Narrow"/>
          <w:lang w:val="sk-SK"/>
        </w:rPr>
        <w:t xml:space="preserve"> postupom </w:t>
      </w:r>
      <w:r w:rsidRPr="00900AF8">
        <w:rPr>
          <w:rFonts w:ascii="Arial Narrow" w:hAnsi="Arial Narrow"/>
          <w:lang w:val="sk-SK"/>
        </w:rPr>
        <w:t xml:space="preserve">podľa </w:t>
      </w:r>
      <w:r w:rsidR="00FE6210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  <w:r w:rsidRPr="00900AF8">
        <w:rPr>
          <w:rFonts w:ascii="Arial Narrow" w:hAnsi="Arial Narrow" w:cs="Times New Roman"/>
          <w:sz w:val="24"/>
          <w:szCs w:val="24"/>
          <w:lang w:val="sk-SK"/>
        </w:rPr>
        <w:t xml:space="preserve"> </w:t>
      </w:r>
    </w:p>
    <w:p w14:paraId="656D4144" w14:textId="488ACD84" w:rsidR="006639BF" w:rsidRDefault="003A1F46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>
        <w:rPr>
          <w:rFonts w:ascii="Arial Narrow" w:hAnsi="Arial Narrow"/>
          <w:shd w:val="clear" w:color="auto" w:fill="FFFFFF"/>
          <w:lang w:val="sk-SK"/>
        </w:rPr>
        <w:t xml:space="preserve">nezúčtované </w:t>
      </w:r>
      <w:proofErr w:type="spellStart"/>
      <w:r>
        <w:rPr>
          <w:rFonts w:ascii="Arial Narrow" w:hAnsi="Arial Narrow"/>
          <w:shd w:val="clear" w:color="auto" w:fill="FFFFFF"/>
          <w:lang w:val="sk-SK"/>
        </w:rPr>
        <w:t>predfinancovanie</w:t>
      </w:r>
      <w:proofErr w:type="spellEnd"/>
      <w:r>
        <w:rPr>
          <w:rFonts w:ascii="Arial Narrow" w:hAnsi="Arial Narrow"/>
          <w:shd w:val="clear" w:color="auto" w:fill="FFFFFF"/>
          <w:lang w:val="sk-SK"/>
        </w:rPr>
        <w:t xml:space="preserve">, resp. </w:t>
      </w:r>
      <w:r w:rsidRPr="00056520">
        <w:rPr>
          <w:rFonts w:ascii="Arial Narrow" w:hAnsi="Arial Narrow"/>
          <w:shd w:val="clear" w:color="auto" w:fill="FFFFFF"/>
          <w:lang w:val="sk-SK"/>
        </w:rPr>
        <w:t>nezúčtovan</w:t>
      </w:r>
      <w:r>
        <w:rPr>
          <w:rFonts w:ascii="Arial Narrow" w:hAnsi="Arial Narrow"/>
          <w:shd w:val="clear" w:color="auto" w:fill="FFFFFF"/>
          <w:lang w:val="sk-SK"/>
        </w:rPr>
        <w:t>ú časť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proofErr w:type="spellStart"/>
      <w:r w:rsidRPr="00056520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na účet Vykonávateľa, a to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v priebehu rozpočtového roka na výdavkový účet V</w:t>
      </w:r>
      <w:r>
        <w:rPr>
          <w:rFonts w:ascii="Arial Narrow" w:hAnsi="Arial Narrow"/>
          <w:shd w:val="clear" w:color="auto" w:fill="FFFFFF"/>
          <w:lang w:val="sk-SK"/>
        </w:rPr>
        <w:t>ykonávateľa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z predchádzajúceho rok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na príjmový účet Vykonávateľa.</w:t>
      </w:r>
      <w:r>
        <w:rPr>
          <w:rFonts w:ascii="Arial Narrow" w:hAnsi="Arial Narrow"/>
          <w:shd w:val="clear" w:color="auto" w:fill="FFFFFF"/>
          <w:lang w:val="sk-SK"/>
        </w:rPr>
        <w:t xml:space="preserve"> </w:t>
      </w:r>
      <w:r w:rsidR="00B057B0" w:rsidRPr="003A1F46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5C6B67" w:rsidRPr="003A1F46">
        <w:rPr>
          <w:rFonts w:ascii="Arial Narrow" w:hAnsi="Arial Narrow"/>
          <w:lang w:val="sk-SK"/>
        </w:rPr>
        <w:t>P</w:t>
      </w:r>
      <w:r w:rsidR="00B057B0" w:rsidRPr="003A1F46">
        <w:rPr>
          <w:rFonts w:ascii="Arial Narrow" w:hAnsi="Arial Narrow"/>
          <w:lang w:val="sk-SK"/>
        </w:rPr>
        <w:t xml:space="preserve">rijímateľa na účet </w:t>
      </w:r>
      <w:r w:rsidR="005C6B67" w:rsidRPr="003A1F46">
        <w:rPr>
          <w:rFonts w:ascii="Arial Narrow" w:hAnsi="Arial Narrow"/>
          <w:lang w:val="sk-SK"/>
        </w:rPr>
        <w:t>V</w:t>
      </w:r>
      <w:r w:rsidR="00B057B0" w:rsidRPr="003A1F46">
        <w:rPr>
          <w:rFonts w:ascii="Arial Narrow" w:hAnsi="Arial Narrow"/>
          <w:lang w:val="sk-SK"/>
        </w:rPr>
        <w:t>ykonávateľa alebo formou rozpočtového opatrenia, v súlade so žiadosťou o</w:t>
      </w:r>
      <w:r>
        <w:rPr>
          <w:rFonts w:ascii="Arial Narrow" w:hAnsi="Arial Narrow"/>
          <w:lang w:val="sk-SK"/>
        </w:rPr>
        <w:t> </w:t>
      </w:r>
      <w:r w:rsidR="00B057B0" w:rsidRPr="003A1F46">
        <w:rPr>
          <w:rFonts w:ascii="Arial Narrow" w:hAnsi="Arial Narrow"/>
          <w:lang w:val="sk-SK"/>
        </w:rPr>
        <w:t>vrátenie</w:t>
      </w:r>
      <w:r>
        <w:rPr>
          <w:rFonts w:ascii="Arial Narrow" w:hAnsi="Arial Narrow"/>
          <w:lang w:val="sk-SK"/>
        </w:rPr>
        <w:t xml:space="preserve"> podľa </w:t>
      </w:r>
      <w:r w:rsidR="00FE6210">
        <w:rPr>
          <w:rFonts w:ascii="Arial Narrow" w:hAnsi="Arial Narrow"/>
          <w:lang w:val="sk-SK"/>
        </w:rPr>
        <w:t xml:space="preserve">článku </w:t>
      </w:r>
      <w:r>
        <w:rPr>
          <w:rFonts w:ascii="Arial Narrow" w:hAnsi="Arial Narrow"/>
          <w:lang w:val="sk-SK"/>
        </w:rPr>
        <w:t>14 VZP</w:t>
      </w:r>
      <w:r w:rsidR="008B5D5C" w:rsidRPr="003A1F46">
        <w:rPr>
          <w:rFonts w:ascii="Arial Narrow" w:hAnsi="Arial Narrow"/>
          <w:lang w:val="sk-SK"/>
        </w:rPr>
        <w:t>.</w:t>
      </w:r>
    </w:p>
    <w:p w14:paraId="350424B1" w14:textId="14AD77EF" w:rsidR="003A1F46" w:rsidRDefault="003A1F46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4718F998" w:rsidR="006639BF" w:rsidRPr="00900AF8" w:rsidRDefault="00CC6FD7" w:rsidP="00204CA9">
      <w:pPr>
        <w:pStyle w:val="Nadpis2"/>
      </w:pPr>
      <w:bookmarkStart w:id="20" w:name="_Toc92752262"/>
      <w:r w:rsidRPr="008E7CF3">
        <w:t>Článok 17b. Systém zálohových platieb</w:t>
      </w:r>
      <w:bookmarkEnd w:id="20"/>
    </w:p>
    <w:p w14:paraId="2A597ECE" w14:textId="10272D0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predloženej Prijímateľom v EUR. </w:t>
      </w:r>
    </w:p>
    <w:p w14:paraId="1B956621" w14:textId="267666AB" w:rsidR="006D14E6" w:rsidRPr="006D14E6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predkladá Vykonávateľovi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maximálne do výšky </w:t>
      </w:r>
      <w:r w:rsidR="00303F83" w:rsidRPr="00303F83">
        <w:rPr>
          <w:rFonts w:ascii="Arial Narrow" w:hAnsi="Arial Narrow"/>
          <w:highlight w:val="yellow"/>
          <w:lang w:val="sk-SK"/>
        </w:rPr>
        <w:t>....</w:t>
      </w:r>
      <w:r w:rsidRPr="00900AF8">
        <w:rPr>
          <w:rFonts w:ascii="Arial Narrow" w:hAnsi="Arial Narrow"/>
          <w:lang w:val="sk-SK"/>
        </w:rPr>
        <w:t xml:space="preserve">. </w:t>
      </w:r>
    </w:p>
    <w:p w14:paraId="4A1B961C" w14:textId="76870242" w:rsidR="00CC6FD7" w:rsidRPr="006D14E6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2BFAEE0A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proofErr w:type="spellStart"/>
      <w:r w:rsidR="0001370B"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proofErr w:type="spellStart"/>
      <w:r w:rsidR="0001370B" w:rsidRPr="00A8585D">
        <w:rPr>
          <w:rFonts w:ascii="Arial Narrow" w:hAnsi="Arial Narrow"/>
          <w:lang w:val="sk-SK"/>
        </w:rPr>
        <w:t>ŽoP</w:t>
      </w:r>
      <w:proofErr w:type="spellEnd"/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ostatných nenárokovaných výdavkov, a 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proofErr w:type="spellStart"/>
      <w:r w:rsidR="00B3608A" w:rsidRPr="000058A2">
        <w:rPr>
          <w:rFonts w:ascii="Arial Narrow" w:hAnsi="Arial Narrow"/>
          <w:lang w:val="sk-SK"/>
        </w:rPr>
        <w:t>ŽoP</w:t>
      </w:r>
      <w:proofErr w:type="spellEnd"/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 xml:space="preserve">ými </w:t>
      </w:r>
      <w:r w:rsidR="000058A2">
        <w:rPr>
          <w:rFonts w:ascii="Arial Narrow" w:hAnsi="Arial Narrow"/>
          <w:lang w:val="sk-SK"/>
        </w:rPr>
        <w:lastRenderedPageBreak/>
        <w:t>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61A0B227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1C70953A" w:rsidR="00CC6FD7" w:rsidRPr="0093063C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2080036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0A4B8ED4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B3608A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4E6D3E30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do </w:t>
      </w:r>
      <w:r w:rsidR="001523E0" w:rsidRPr="00303F83">
        <w:rPr>
          <w:rFonts w:ascii="Arial Narrow" w:hAnsi="Arial Narrow"/>
          <w:highlight w:val="yellow"/>
          <w:lang w:val="sk-SK"/>
        </w:rPr>
        <w:t>....</w:t>
      </w:r>
      <w:r w:rsidRPr="001523E0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dní po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1D6B375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25E413F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rijímateľa o vrátenie nezúčtovanej zálohovej platby alebo nezúčtovaného rozdielu zálohovej platby. P</w:t>
      </w:r>
      <w:bookmarkStart w:id="21" w:name="_GoBack"/>
      <w:bookmarkEnd w:id="21"/>
      <w:r w:rsidRPr="00900AF8">
        <w:rPr>
          <w:rFonts w:ascii="Arial Narrow" w:hAnsi="Arial Narrow"/>
          <w:lang w:val="sk-SK"/>
        </w:rPr>
        <w:t xml:space="preserve">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41ACFFDB" w:rsidR="006639BF" w:rsidRPr="008E7CF3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204CA9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3BACE80" w:rsidR="006C6414" w:rsidRPr="00900AF8" w:rsidRDefault="006C6414" w:rsidP="00A022A6">
      <w:pPr>
        <w:pStyle w:val="Nadpis2"/>
      </w:pPr>
      <w:bookmarkStart w:id="22" w:name="_Toc92752263"/>
      <w:r w:rsidRPr="008E7CF3">
        <w:t>Článok 17c. Systém refundácie</w:t>
      </w:r>
      <w:bookmarkEnd w:id="22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0B74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EE70" w16cex:dateUtc="2022-01-10T08:59:00Z"/>
  <w16cex:commentExtensible w16cex:durableId="25ACEE72" w16cex:dateUtc="2022-02-01T13:24:00Z"/>
  <w16cex:commentExtensible w16cex:durableId="25ACEE75" w16cex:dateUtc="2022-01-10T10:00:00Z"/>
  <w16cex:commentExtensible w16cex:durableId="25ACEE7D" w16cex:dateUtc="2021-12-28T21:28:00Z"/>
  <w16cex:commentExtensible w16cex:durableId="25ACEE7E" w16cex:dateUtc="2022-01-25T22:19:00Z"/>
  <w16cex:commentExtensible w16cex:durableId="25ACEE7F" w16cex:dateUtc="2022-01-30T22:37:00Z"/>
  <w16cex:commentExtensible w16cex:durableId="25ACEE80" w16cex:dateUtc="2022-01-07T21:46:00Z"/>
  <w16cex:commentExtensible w16cex:durableId="25ACEE81" w16cex:dateUtc="2022-02-06T23:07:00Z"/>
  <w16cex:commentExtensible w16cex:durableId="25ACEE82" w16cex:dateUtc="2022-01-31T16:12:00Z"/>
  <w16cex:commentExtensible w16cex:durableId="25EF6257" w16cex:dateUtc="2022-03-29T15:22:00Z"/>
  <w16cex:commentExtensible w16cex:durableId="25E4B671" w16cex:dateUtc="2022-03-22T08:55:00Z"/>
  <w16cex:commentExtensible w16cex:durableId="25E4B672" w16cex:dateUtc="2022-03-22T09:04:00Z"/>
  <w16cex:commentExtensible w16cex:durableId="25EF625A" w16cex:dateUtc="2022-03-22T12:51:00Z"/>
  <w16cex:commentExtensible w16cex:durableId="25E4B674" w16cex:dateUtc="2022-03-22T13:23:00Z"/>
  <w16cex:commentExtensible w16cex:durableId="25EF625C" w16cex:dateUtc="2022-03-23T10:06:00Z"/>
  <w16cex:commentExtensible w16cex:durableId="25E4B675" w16cex:dateUtc="2022-03-22T12:56:00Z"/>
  <w16cex:commentExtensible w16cex:durableId="25ACF4E0" w16cex:dateUtc="2022-01-07T18:38:00Z"/>
  <w16cex:commentExtensible w16cex:durableId="25EF625F" w16cex:dateUtc="2022-03-23T17:39:00Z"/>
  <w16cex:commentExtensible w16cex:durableId="25D11125" w16cex:dateUtc="2022-03-07T22:17:00Z"/>
  <w16cex:commentExtensible w16cex:durableId="25EF6261" w16cex:dateUtc="2022-03-24T15:21:00Z"/>
  <w16cex:commentExtensible w16cex:durableId="25CA64C9" w16cex:dateUtc="2022-03-02T20:48:00Z"/>
  <w16cex:commentExtensible w16cex:durableId="25EF6263" w16cex:dateUtc="2022-03-25T15:54:00Z"/>
  <w16cex:commentExtensible w16cex:durableId="25ACEE86" w16cex:dateUtc="2021-12-04T14:11:00Z"/>
  <w16cex:commentExtensible w16cex:durableId="25EF6265" w16cex:dateUtc="2022-03-28T09:09:00Z"/>
  <w16cex:commentExtensible w16cex:durableId="25B9424B" w16cex:dateUtc="2022-02-17T12:23:00Z"/>
  <w16cex:commentExtensible w16cex:durableId="25ACEE8A" w16cex:dateUtc="2022-01-11T15:53:00Z"/>
  <w16cex:commentExtensible w16cex:durableId="25EF6268" w16cex:dateUtc="2022-03-29T10:36:00Z"/>
  <w16cex:commentExtensible w16cex:durableId="25EF6269" w16cex:dateUtc="2022-03-29T11:09:00Z"/>
  <w16cex:commentExtensible w16cex:durableId="25ACEE8B" w16cex:dateUtc="2022-01-11T13:05:00Z"/>
  <w16cex:commentExtensible w16cex:durableId="25EF626B" w16cex:dateUtc="2022-03-29T11:30:00Z"/>
  <w16cex:commentExtensible w16cex:durableId="25EF626C" w16cex:dateUtc="2022-03-29T11:33:00Z"/>
  <w16cex:commentExtensible w16cex:durableId="25ACEE8E" w16cex:dateUtc="2022-01-05T01:19:00Z"/>
  <w16cex:commentExtensible w16cex:durableId="25EF626E" w16cex:dateUtc="2022-03-29T12:35:00Z"/>
  <w16cex:commentExtensible w16cex:durableId="25ACEE90" w16cex:dateUtc="2022-01-28T23:00:00Z"/>
  <w16cex:commentExtensible w16cex:durableId="25EF6270" w16cex:dateUtc="2022-03-30T08:01:00Z"/>
  <w16cex:commentExtensible w16cex:durableId="25ACEE91" w16cex:dateUtc="2022-01-06T22:59:00Z"/>
  <w16cex:commentExtensible w16cex:durableId="25ACEE92" w16cex:dateUtc="2022-01-06T22:57:00Z"/>
  <w16cex:commentExtensible w16cex:durableId="25EF6273" w16cex:dateUtc="2022-03-30T14:28:00Z"/>
  <w16cex:commentExtensible w16cex:durableId="25ACEE97" w16cex:dateUtc="2022-01-06T23:13:00Z"/>
  <w16cex:commentExtensible w16cex:durableId="25EF6811" w16cex:dateUtc="2022-03-30T21:36:00Z"/>
  <w16cex:commentExtensible w16cex:durableId="25ACEE98" w16cex:dateUtc="2022-01-06T23:18:00Z"/>
  <w16cex:commentExtensible w16cex:durableId="25EF704E" w16cex:dateUtc="2022-03-30T2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052EA8" w16cid:durableId="25ACEE70"/>
  <w16cid:commentId w16cid:paraId="56DBE9E7" w16cid:durableId="25ACEE71"/>
  <w16cid:commentId w16cid:paraId="4DA91AF5" w16cid:durableId="25ACEE72"/>
  <w16cid:commentId w16cid:paraId="1C258619" w16cid:durableId="25ACEE75"/>
  <w16cid:commentId w16cid:paraId="0A4D4B6C" w16cid:durableId="25ACEE7D"/>
  <w16cid:commentId w16cid:paraId="52531AE4" w16cid:durableId="25ACEE7E"/>
  <w16cid:commentId w16cid:paraId="593B808E" w16cid:durableId="25ACEE7F"/>
  <w16cid:commentId w16cid:paraId="5ABFBEB8" w16cid:durableId="25ACEE80"/>
  <w16cid:commentId w16cid:paraId="090491B5" w16cid:durableId="25ACEE81"/>
  <w16cid:commentId w16cid:paraId="0F567FB5" w16cid:durableId="25ACEE82"/>
  <w16cid:commentId w16cid:paraId="25A79D14" w16cid:durableId="25EF6257"/>
  <w16cid:commentId w16cid:paraId="645C444D" w16cid:durableId="25E4B671"/>
  <w16cid:commentId w16cid:paraId="6AE11398" w16cid:durableId="25E4B672"/>
  <w16cid:commentId w16cid:paraId="4859E895" w16cid:durableId="25EF625A"/>
  <w16cid:commentId w16cid:paraId="393FB37E" w16cid:durableId="25E4B674"/>
  <w16cid:commentId w16cid:paraId="2620ED0C" w16cid:durableId="25EF625C"/>
  <w16cid:commentId w16cid:paraId="02E378C9" w16cid:durableId="25E4B675"/>
  <w16cid:commentId w16cid:paraId="222152F2" w16cid:durableId="25ACF4E0"/>
  <w16cid:commentId w16cid:paraId="34718001" w16cid:durableId="25EF625F"/>
  <w16cid:commentId w16cid:paraId="3939CD28" w16cid:durableId="25D11125"/>
  <w16cid:commentId w16cid:paraId="18C1BB22" w16cid:durableId="25EF6261"/>
  <w16cid:commentId w16cid:paraId="2E567A43" w16cid:durableId="25CA64C9"/>
  <w16cid:commentId w16cid:paraId="134004D6" w16cid:durableId="25EF6263"/>
  <w16cid:commentId w16cid:paraId="7204D848" w16cid:durableId="25ACEE86"/>
  <w16cid:commentId w16cid:paraId="072ADC1F" w16cid:durableId="25EF6265"/>
  <w16cid:commentId w16cid:paraId="2092DEC5" w16cid:durableId="25B9424B"/>
  <w16cid:commentId w16cid:paraId="07174C5E" w16cid:durableId="25ACEE8A"/>
  <w16cid:commentId w16cid:paraId="5374C225" w16cid:durableId="25EF6268"/>
  <w16cid:commentId w16cid:paraId="2076AE7E" w16cid:durableId="25EF6269"/>
  <w16cid:commentId w16cid:paraId="23D95691" w16cid:durableId="25ACEE8B"/>
  <w16cid:commentId w16cid:paraId="497881FC" w16cid:durableId="25EF626B"/>
  <w16cid:commentId w16cid:paraId="2B563E0E" w16cid:durableId="25EF626C"/>
  <w16cid:commentId w16cid:paraId="2C6A8D28" w16cid:durableId="25ACEE8E"/>
  <w16cid:commentId w16cid:paraId="65CE8A53" w16cid:durableId="25EF626E"/>
  <w16cid:commentId w16cid:paraId="777515D2" w16cid:durableId="25ACEE90"/>
  <w16cid:commentId w16cid:paraId="614B6C25" w16cid:durableId="25EF6270"/>
  <w16cid:commentId w16cid:paraId="61D31DFC" w16cid:durableId="25ACEE91"/>
  <w16cid:commentId w16cid:paraId="7B3240C2" w16cid:durableId="25ACEE92"/>
  <w16cid:commentId w16cid:paraId="5D710E0A" w16cid:durableId="25EF6273"/>
  <w16cid:commentId w16cid:paraId="7F62F15C" w16cid:durableId="25ACEE97"/>
  <w16cid:commentId w16cid:paraId="2CEF6167" w16cid:durableId="25EF6811"/>
  <w16cid:commentId w16cid:paraId="11D258A7" w16cid:durableId="25ACEE98"/>
  <w16cid:commentId w16cid:paraId="7337F642" w16cid:durableId="25EF70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1151" w14:textId="77777777" w:rsidR="00E40499" w:rsidRDefault="00E40499" w:rsidP="007F765E">
      <w:r>
        <w:separator/>
      </w:r>
    </w:p>
  </w:endnote>
  <w:endnote w:type="continuationSeparator" w:id="0">
    <w:p w14:paraId="434F020C" w14:textId="77777777" w:rsidR="00E40499" w:rsidRDefault="00E40499" w:rsidP="007F765E">
      <w:r>
        <w:continuationSeparator/>
      </w:r>
    </w:p>
  </w:endnote>
  <w:endnote w:type="continuationNotice" w:id="1">
    <w:p w14:paraId="47DDD294" w14:textId="77777777" w:rsidR="00E40499" w:rsidRDefault="00E40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8EF" w14:textId="77777777" w:rsidR="00C65B1A" w:rsidRDefault="00C65B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6885BBF1" w:rsidR="00C65B1A" w:rsidRPr="007F765E" w:rsidRDefault="00C65B1A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851070" w:rsidRPr="00851070">
          <w:rPr>
            <w:rFonts w:ascii="Arial Narrow" w:hAnsi="Arial Narrow"/>
            <w:noProof/>
            <w:sz w:val="22"/>
            <w:lang w:val="sk-SK"/>
          </w:rPr>
          <w:t>31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C65B1A" w:rsidRDefault="00C65B1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671B" w14:textId="77777777" w:rsidR="00C65B1A" w:rsidRDefault="00C65B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D4D34" w14:textId="77777777" w:rsidR="00E40499" w:rsidRDefault="00E40499" w:rsidP="007F765E">
      <w:r>
        <w:separator/>
      </w:r>
    </w:p>
  </w:footnote>
  <w:footnote w:type="continuationSeparator" w:id="0">
    <w:p w14:paraId="0DD98179" w14:textId="77777777" w:rsidR="00E40499" w:rsidRDefault="00E40499" w:rsidP="007F765E">
      <w:r>
        <w:continuationSeparator/>
      </w:r>
    </w:p>
  </w:footnote>
  <w:footnote w:type="continuationNotice" w:id="1">
    <w:p w14:paraId="3EB25E50" w14:textId="77777777" w:rsidR="00E40499" w:rsidRDefault="00E40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8723" w14:textId="77777777" w:rsidR="00C65B1A" w:rsidRDefault="00C65B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A8E2" w14:textId="77777777" w:rsidR="00C65B1A" w:rsidRDefault="00C65B1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2423" w14:textId="77777777" w:rsidR="00C65B1A" w:rsidRDefault="00C65B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</w:num>
  <w:num w:numId="3">
    <w:abstractNumId w:val="21"/>
  </w:num>
  <w:num w:numId="4">
    <w:abstractNumId w:val="36"/>
  </w:num>
  <w:num w:numId="5">
    <w:abstractNumId w:val="24"/>
  </w:num>
  <w:num w:numId="6">
    <w:abstractNumId w:val="27"/>
  </w:num>
  <w:num w:numId="7">
    <w:abstractNumId w:val="13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22"/>
  </w:num>
  <w:num w:numId="13">
    <w:abstractNumId w:val="0"/>
  </w:num>
  <w:num w:numId="14">
    <w:abstractNumId w:val="38"/>
  </w:num>
  <w:num w:numId="15">
    <w:abstractNumId w:val="43"/>
  </w:num>
  <w:num w:numId="16">
    <w:abstractNumId w:val="26"/>
  </w:num>
  <w:num w:numId="17">
    <w:abstractNumId w:val="28"/>
  </w:num>
  <w:num w:numId="18">
    <w:abstractNumId w:val="20"/>
  </w:num>
  <w:num w:numId="19">
    <w:abstractNumId w:val="34"/>
  </w:num>
  <w:num w:numId="20">
    <w:abstractNumId w:val="29"/>
  </w:num>
  <w:num w:numId="21">
    <w:abstractNumId w:val="4"/>
  </w:num>
  <w:num w:numId="22">
    <w:abstractNumId w:val="14"/>
  </w:num>
  <w:num w:numId="23">
    <w:abstractNumId w:val="3"/>
  </w:num>
  <w:num w:numId="24">
    <w:abstractNumId w:val="31"/>
  </w:num>
  <w:num w:numId="25">
    <w:abstractNumId w:val="10"/>
  </w:num>
  <w:num w:numId="26">
    <w:abstractNumId w:val="23"/>
  </w:num>
  <w:num w:numId="27">
    <w:abstractNumId w:val="25"/>
  </w:num>
  <w:num w:numId="28">
    <w:abstractNumId w:val="40"/>
  </w:num>
  <w:num w:numId="29">
    <w:abstractNumId w:val="35"/>
  </w:num>
  <w:num w:numId="30">
    <w:abstractNumId w:val="3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"/>
  </w:num>
  <w:num w:numId="34">
    <w:abstractNumId w:val="12"/>
  </w:num>
  <w:num w:numId="35">
    <w:abstractNumId w:val="32"/>
  </w:num>
  <w:num w:numId="36">
    <w:abstractNumId w:val="19"/>
  </w:num>
  <w:num w:numId="37">
    <w:abstractNumId w:val="37"/>
  </w:num>
  <w:num w:numId="38">
    <w:abstractNumId w:val="18"/>
  </w:num>
  <w:num w:numId="39">
    <w:abstractNumId w:val="6"/>
  </w:num>
  <w:num w:numId="40">
    <w:abstractNumId w:val="30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8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LO0MDMzMLQ0NjFV0lEKTi0uzszPAykwrQUAK87h2y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360"/>
    <w:rsid w:val="0000789F"/>
    <w:rsid w:val="000101A5"/>
    <w:rsid w:val="00010B0C"/>
    <w:rsid w:val="00010F3E"/>
    <w:rsid w:val="00012DA7"/>
    <w:rsid w:val="00013622"/>
    <w:rsid w:val="0001370B"/>
    <w:rsid w:val="00015B2A"/>
    <w:rsid w:val="00016341"/>
    <w:rsid w:val="00016822"/>
    <w:rsid w:val="0001780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19C7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E0D"/>
    <w:rsid w:val="000F5A75"/>
    <w:rsid w:val="000F7916"/>
    <w:rsid w:val="00100DD6"/>
    <w:rsid w:val="00100F82"/>
    <w:rsid w:val="00101587"/>
    <w:rsid w:val="001069B5"/>
    <w:rsid w:val="001074C4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74A1"/>
    <w:rsid w:val="001D7BBC"/>
    <w:rsid w:val="001E0D5E"/>
    <w:rsid w:val="001E60C3"/>
    <w:rsid w:val="001E61BB"/>
    <w:rsid w:val="001F17E7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4CA9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4372"/>
    <w:rsid w:val="002D5551"/>
    <w:rsid w:val="002D634A"/>
    <w:rsid w:val="002D6E3B"/>
    <w:rsid w:val="002E0D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256F"/>
    <w:rsid w:val="00393A72"/>
    <w:rsid w:val="00393AC9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35FF"/>
    <w:rsid w:val="0045361C"/>
    <w:rsid w:val="00454835"/>
    <w:rsid w:val="00455846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5AA7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6FEA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F22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C7919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1070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C2E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3212"/>
    <w:rsid w:val="008F3916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692"/>
    <w:rsid w:val="00920A69"/>
    <w:rsid w:val="009214C8"/>
    <w:rsid w:val="009247B2"/>
    <w:rsid w:val="00924994"/>
    <w:rsid w:val="009253DD"/>
    <w:rsid w:val="00925AB7"/>
    <w:rsid w:val="00927498"/>
    <w:rsid w:val="0093063C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17149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41B8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1FC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CD5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5B15"/>
    <w:rsid w:val="00BA5E00"/>
    <w:rsid w:val="00BA6407"/>
    <w:rsid w:val="00BA66C5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70CD"/>
    <w:rsid w:val="00C0028B"/>
    <w:rsid w:val="00C00ED3"/>
    <w:rsid w:val="00C023B0"/>
    <w:rsid w:val="00C029B8"/>
    <w:rsid w:val="00C034D1"/>
    <w:rsid w:val="00C04DDB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BC5"/>
    <w:rsid w:val="00C26FA1"/>
    <w:rsid w:val="00C26FE4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5B1A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25D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25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0499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EF6D59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7E7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1CE2598"/>
    <w:rsid w:val="13640677"/>
    <w:rsid w:val="1370A1C3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1F5D594B"/>
    <w:rsid w:val="20906CA4"/>
    <w:rsid w:val="20950AEA"/>
    <w:rsid w:val="2192D3A5"/>
    <w:rsid w:val="255B3678"/>
    <w:rsid w:val="272D6294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1EBE6E5"/>
    <w:rsid w:val="451B2BFF"/>
    <w:rsid w:val="458D35C1"/>
    <w:rsid w:val="46A8078C"/>
    <w:rsid w:val="47B418CF"/>
    <w:rsid w:val="49A21745"/>
    <w:rsid w:val="4AEBAE64"/>
    <w:rsid w:val="4BD63BC1"/>
    <w:rsid w:val="4D46DC24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8F4E0DC"/>
    <w:rsid w:val="69A95C68"/>
    <w:rsid w:val="6BD31B56"/>
    <w:rsid w:val="6C5C1F4E"/>
    <w:rsid w:val="6DE35817"/>
    <w:rsid w:val="6E327999"/>
    <w:rsid w:val="6EEE56D7"/>
    <w:rsid w:val="6F322E75"/>
    <w:rsid w:val="70126726"/>
    <w:rsid w:val="709C4746"/>
    <w:rsid w:val="72EF1F3F"/>
    <w:rsid w:val="732F0A87"/>
    <w:rsid w:val="759729F8"/>
    <w:rsid w:val="773D30BB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07ACA"/>
  <w15:docId w15:val="{6B0409BE-0937-44D4-A556-DC70F7DC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Sil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7099-45AB-45A1-A927-93E3351010BE}"/>
</file>

<file path=customXml/itemProps2.xml><?xml version="1.0" encoding="utf-8"?>
<ds:datastoreItem xmlns:ds="http://schemas.openxmlformats.org/officeDocument/2006/customXml" ds:itemID="{C4D1769F-FE0A-41E7-A50E-C5A0F58F4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3DA91-0761-4886-A3FC-A5609B25B25B}">
  <ds:schemaRefs>
    <ds:schemaRef ds:uri="http://purl.org/dc/elements/1.1/"/>
    <ds:schemaRef ds:uri="421375f5-370a-4650-8fe9-f6faac8af305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5c8e5f-d5cf-48c3-9b5f-7b61347282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9DAD743-B752-4537-B921-ECFABB3D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18082</Words>
  <Characters>113722</Characters>
  <Application>Microsoft Office Word</Application>
  <DocSecurity>0</DocSecurity>
  <Lines>947</Lines>
  <Paragraphs>263</Paragraphs>
  <ScaleCrop>false</ScaleCrop>
  <Company/>
  <LinksUpToDate>false</LinksUpToDate>
  <CharactersWithSpaces>131541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2023-01-23T20:10:00Z</dcterms:created>
  <dcterms:modified xsi:type="dcterms:W3CDTF">2023-04-28T08:20:00Z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